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0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年曲靖市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沾益区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一般公共预算和国有资本经营预算执行变动情况说明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20"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一、</w:t>
      </w:r>
      <w:r>
        <w:rPr>
          <w:rStyle w:val="6"/>
          <w:rFonts w:hint="default" w:ascii="Times New Roman" w:hAnsi="Times New Roman" w:eastAsia="黑体" w:cs="Times New Roman"/>
          <w:b/>
          <w:bCs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</w:t>
      </w:r>
      <w:r>
        <w:rPr>
          <w:rStyle w:val="6"/>
          <w:rFonts w:hint="default" w:ascii="Times New Roman" w:hAnsi="Times New Roman" w:eastAsia="黑体" w:cs="Times New Roman"/>
          <w:b/>
          <w:bCs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en-US"/>
        </w:rPr>
        <w:t>020</w:t>
      </w:r>
      <w:r>
        <w:rPr>
          <w:rFonts w:hint="default" w:ascii="Times New Roman" w:hAnsi="Times New Roman" w:eastAsia="黑体" w:cs="Times New Roman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</w:t>
      </w:r>
      <w:r>
        <w:rPr>
          <w:rFonts w:hint="default" w:ascii="Times New Roman" w:hAnsi="Times New Roman" w:eastAsia="黑体" w:cs="Times New Roman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沾益区</w:t>
      </w:r>
      <w:r>
        <w:rPr>
          <w:rFonts w:hint="default" w:ascii="Times New Roman" w:hAnsi="Times New Roman" w:eastAsia="黑体" w:cs="Times New Roman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一般公共预算支出变动说明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197" w:leftChars="0" w:right="20" w:firstLine="62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人大事务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款比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2019年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下降14.46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2019年拨付2018年上级专项补助资金。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197" w:leftChars="0" w:right="20" w:firstLine="62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纪检监察事务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年决算数增长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16.35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人员增加。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197" w:leftChars="0" w:right="20" w:firstLine="62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检察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下降100%，主要原因是：检察监督经费减少。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197" w:leftChars="0" w:right="20" w:firstLine="62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商贸事物款比2019年决算数减少8.72%，主要原因是：招商引资经费及商务经费减少。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197" w:leftChars="0" w:right="20" w:firstLine="62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民族事务款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en-US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下降53.98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上级补助民族专项经费和宗教经费减少。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197" w:leftChars="0" w:right="20" w:firstLine="62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档案事务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年决算数增长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10.53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综合档案馆建设经费增加。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197" w:leftChars="0" w:right="20" w:firstLine="62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统战事务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下降37.04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统战事务专项补助减少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197" w:leftChars="0" w:right="20" w:firstLine="62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市场监督管理事务款比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下降23.32%，主要原因是：市场综合监管专项经费减少。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197" w:leftChars="0" w:right="20" w:firstLine="62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法院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下降100%，主要原因是：法院补助经费减少。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197" w:leftChars="0" w:right="20" w:firstLine="62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小学教育款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en-US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下降14.66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，主要原因是：部分专款科目从小学教育款调整至其他普通教育款中拨付；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2019年发放了1-3季度政府绩效考核奖，2020年只发放了2019年第4季度政府绩效考核奖。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197" w:leftChars="0" w:right="20" w:firstLine="62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高中教育款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en-US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下降10.22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2019年拨付了区一中改扩建专款，2020年中无安排；2019年发放了1-3季度政府绩效考核奖，2020年只发放了2019年第4季度政府绩效考核奖。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其他普通教育款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en-US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增加148.89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，主要原因是：部分专款科目调整至其他普通教育款中拨付。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中等职业教育教育款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en-US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增加931.48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，主要原因是：科目调整，从职业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高中教育款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调整至中等职业教育款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其他职业教育教育款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en-US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下降100.00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2019年上级专款在此科目中安排了免学费补助资金，2020年调整至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中等职业教育款中安排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特殊学校教育款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en-US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下降100.00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2020年在此科目中无上级专款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资金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其他教育费附加安排的支出款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en-US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增加83.73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，主要原因是：增加了教育债务还本付息支出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其他教育款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en-US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增加90.86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，主要原因是：增加了薄弱学校改造资金。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科学技术管理事物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下降16.43%，主要原因是：2019年发放了1-3季度政府绩效考核奖，2020年只发放了2019年第4季度政府绩效考核奖。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技术研究与开发款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增长45.25%，主要原因是：上级安排技术研究与开发专款增加。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科技条件与服务款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年决算数下降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100.00%，主要原因是：2020年在此科目中无上级专款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资金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科学技术普及款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增长65.35%，主要原因是：上级安排科学技术普及专款增加。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科技交流与合作款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年决算数下降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100.00%，主要原因是：2020年在此科目中无上级专款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资金。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其他科学技术支出款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增长322.22%，主要原因是：上级安排其他科学技术专款增加。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文化和旅游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下降21.73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2019年发放了1-3季度政府绩效考核奖，2020年只发放了2019年第4季度政府绩效考核奖。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广播电视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增长100.00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，主要原因是：新增了区融媒体中心一家单位，经费增加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其他文化旅游体育与传媒支出款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下降41.03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，主要原因是：上级安排其他文化旅游体育与传媒支出专款减少。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人力资源和社会保障管理事务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减少10.22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人社局医保中心因机构改革划入医保局，人员减少。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民政管理事务款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下降17.16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因机构改革退役相关人员划入退役军人事务局，人员减少。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行政事业单位养老支出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增长27.07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养老保险缴费基数增加，财政负担金额增加。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就业补助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下降47.08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上级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就业补助资金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减少。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抚恤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增长22.7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，主要原因是：提高“三属”定期抚恤补助经费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和临时价格补助经费等增加。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退役安置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增长32.34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退役安置士兵增加。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社会福利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下降46.22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殡葬建设项目资金减少。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最低生活保障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增长14.9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特困人员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基本生活保障补助资金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临时救助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下降53.19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救助人员减少。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特困人员救助供养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增长20.9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困难人员基本生活保障生活补助资金增加。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其他生活救助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下降62.11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救助人员减少。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财政对基本养老保险基金的补助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增长366.2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拨付2019年城乡居民基本养老保险金。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退役军人管理事务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增长116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退役军人事务部门从人社和民政调入人员，人员增加。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其他社会保障和就业支出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增长850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上级专款增加。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卫生健康管理事务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减少12.59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人员减少。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公共卫生款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增长12.4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疫情防控资金增加。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中医药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减少100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上级专款减少。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计划生育事务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增长2656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拨付计生人员参保及项目经费。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医疗救助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增长104.22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2020年医疗救助补助资金增加。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优抚对象医疗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增长48.51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2020年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优抚对象医疗补助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资金增加。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医疗保障管理事务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增长71.38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医保局因机构改革人员增加。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老龄卫生健康事务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增加100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部分支出科目调整。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其他卫生健康支出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下降100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部分列支科目进行调整。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环境监测与监察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增长86.46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环境保护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专项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经费增长。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污染防治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增长184.12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，主要原因是：污染防治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专项经费增加。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自然生态保护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年决算数减少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42.97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自然生态保护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经费减少。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天然林保护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增长223.72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天然林保护经费增加。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退耕还林还草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增长22.91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，主要原因是：缓拨上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级补助资金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其他节能环保支出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年决算数减少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93.92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节能环保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减少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城乡社区环境卫生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下降22.5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提升城乡人居环境专项资金减少。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其他城乡社区支出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增长83.8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，主要原因是：其他城乡社区支出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经费增加。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水利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zh-CN" w:bidi="zh-CN"/>
        </w:rPr>
        <w:t>年决算数下降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bidi="zh-CN"/>
        </w:rPr>
        <w:t>31.76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zh-CN" w:bidi="zh-CN"/>
        </w:rPr>
        <w:t>%，主要原因是：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病险水库除险加固及维修养护资金减少，农村安全饮水项目资金及抗旱工程建设补助较上年相应减少。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扶贫款比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增长33.97%，主要原因是：为积极响应国家脱贫攻坚工作，中央、省、市、区各级财政用于财政专项扶贫资金增加，农村基础设施建设投入相应增加。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农村综合改革款比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增加20.98%，主要原因是：对壮大村集体经济组织专项资金增加。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普惠金融发展支出款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年决算数减少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2.08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2020年没有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涉农贷款增量奖励资金，农业保险保费补贴资金减少。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其他农林水支出(项)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款比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增长1176.06%，主要原因是实现财政支农支出较上年增长，调整相应支出用于该科目支出。</w:t>
      </w:r>
      <w:bookmarkStart w:id="0" w:name="bookmark1"/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成品油价格改革对交通运输的补贴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下降62.4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道路运输管理系统下划经费基数减少。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工业和信息产业监管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下降56.8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，主要原因是：中小企业投融资服务平台运营维护专项资金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和工业人才队伍建设培训专项资金减少。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支持中小企业发展和管理支出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增长676.7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，主要原因是：改制国有企先养后退人员养老金财政补助资金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涉外发展服务支出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款比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年决算数增加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85.19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，主要原因是：拨付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2019年度缓拨专款发展百强企业奖补资金100万。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自然资源事务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zh-CN" w:eastAsia="zh-CN"/>
        </w:rPr>
        <w:t>年决算数减少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15.75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zh-CN" w:eastAsia="zh-CN"/>
        </w:rPr>
        <w:t>%，主要原因是：自然资源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经费减少。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保障性安居工程支出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下降66.9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，主要原因是：保障性安居工程专项资金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减少。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粮油事务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增长38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，主要原因是：曲靖市市级储备粮补贴经费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和粮食风险基金专项资金等增加。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粮油储备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比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年决算数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下降66.2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auto"/>
          <w:sz w:val="32"/>
          <w:szCs w:val="32"/>
          <w:highlight w:val="none"/>
          <w:lang w:val="zh-CN" w:eastAsia="zh-CN" w:bidi="zh-CN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，主要原因是：曲靖市新建粮油储备建设项目经费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 w:bidi="zh-CN"/>
        </w:rPr>
        <w:t>减少。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200" w:leftChars="0" w:right="23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自然灾害救灾及恢复重建支出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2019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zh-CN" w:eastAsia="zh-CN"/>
        </w:rPr>
        <w:t>年决算数减少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94.99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zh-CN" w:eastAsia="zh-CN"/>
        </w:rPr>
        <w:t>%，主要原因是：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自然灾害救灾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经费减少。</w:t>
      </w:r>
    </w:p>
    <w:bookmarkEnd w:id="0"/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right="2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二、2020年沾益区政府性基金预算收入、支出变动说明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right="2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政府性基金预算收入2020年决算数同比增74.4%，主要原因是2019年土地出让价款收入中计提4769万元，2020年暂不计提。政府性基金2020年决算数同比增731.1%，主要原因是2020年新增抗疫特别国债资金16144万元、专项债券资金25000万元、征地和拆迁补偿新增5398万元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right="2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zh-CN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val="zh-CN" w:eastAsia="zh-CN"/>
        </w:rPr>
        <w:t>2020年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沾益区</w:t>
      </w:r>
      <w:r>
        <w:rPr>
          <w:rFonts w:hint="default" w:ascii="Times New Roman" w:hAnsi="Times New Roman" w:eastAsia="黑体" w:cs="Times New Roman"/>
          <w:sz w:val="32"/>
          <w:szCs w:val="32"/>
          <w:lang w:val="zh-CN" w:eastAsia="zh-CN"/>
        </w:rPr>
        <w:t>国有资本经营预算收入、支出变动说明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right="2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zh-CN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国有资本经营预算支出2020年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zh-CN" w:eastAsia="zh-CN"/>
        </w:rPr>
        <w:t>决算数同比增长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2617万元，增长330.43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zh-CN" w:eastAsia="zh-CN"/>
        </w:rPr>
        <w:t>%，主要原因是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2020年云维集团“三供一业”项目清算结束，拨付了工程尾款3360万元。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CordiaUPC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02DE"/>
    <w:multiLevelType w:val="multilevel"/>
    <w:tmpl w:val="5F4E02DE"/>
    <w:lvl w:ilvl="0" w:tentative="0">
      <w:start w:val="1"/>
      <w:numFmt w:val="decimal"/>
      <w:lvlText w:val="%1."/>
      <w:lvlJc w:val="left"/>
      <w:pPr>
        <w:ind w:left="177"/>
      </w:pPr>
      <w:rPr>
        <w:rFonts w:ascii="Century Schoolbook" w:hAnsi="Century Schoolbook" w:eastAsia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75"/>
        <w:position w:val="0"/>
        <w:sz w:val="26"/>
        <w:szCs w:val="26"/>
        <w:u w:val="none"/>
        <w:lang w:val="zh-CN" w:eastAsia="zh-CN" w:bidi="zh-C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6531F"/>
    <w:rsid w:val="01CD0ADB"/>
    <w:rsid w:val="12815BBA"/>
    <w:rsid w:val="49D773C0"/>
    <w:rsid w:val="4CCC0F5C"/>
    <w:rsid w:val="65C653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文本 (2)"/>
    <w:basedOn w:val="1"/>
    <w:link w:val="7"/>
    <w:qFormat/>
    <w:uiPriority w:val="0"/>
    <w:pPr>
      <w:widowControl w:val="0"/>
      <w:shd w:val="clear" w:color="auto" w:fill="FFFFFF"/>
      <w:spacing w:before="540" w:after="360" w:line="0" w:lineRule="exact"/>
      <w:ind w:firstLine="620"/>
    </w:pPr>
    <w:rPr>
      <w:rFonts w:ascii="MingLiU" w:hAnsi="MingLiU" w:eastAsia="MingLiU" w:cs="MingLiU"/>
      <w:sz w:val="28"/>
      <w:szCs w:val="28"/>
      <w:u w:val="none"/>
    </w:rPr>
  </w:style>
  <w:style w:type="character" w:customStyle="1" w:styleId="6">
    <w:name w:val="正文文本 (2) + CordiaUPC"/>
    <w:basedOn w:val="7"/>
    <w:qFormat/>
    <w:uiPriority w:val="0"/>
    <w:rPr>
      <w:rFonts w:ascii="CordiaUPC" w:hAnsi="CordiaUPC" w:eastAsia="CordiaUPC" w:cs="CordiaUPC"/>
      <w:b/>
      <w:bCs/>
      <w:color w:val="000000"/>
      <w:spacing w:val="0"/>
      <w:w w:val="100"/>
      <w:position w:val="0"/>
      <w:sz w:val="40"/>
      <w:szCs w:val="40"/>
      <w:lang w:val="zh-CN" w:eastAsia="zh-CN" w:bidi="zh-CN"/>
    </w:rPr>
  </w:style>
  <w:style w:type="character" w:customStyle="1" w:styleId="7">
    <w:name w:val="正文文本 (2)_"/>
    <w:basedOn w:val="4"/>
    <w:link w:val="5"/>
    <w:qFormat/>
    <w:uiPriority w:val="0"/>
    <w:rPr>
      <w:rFonts w:ascii="MingLiU" w:hAnsi="MingLiU" w:eastAsia="MingLiU" w:cs="MingLiU"/>
      <w:sz w:val="28"/>
      <w:szCs w:val="28"/>
      <w:u w:val="none"/>
    </w:rPr>
  </w:style>
  <w:style w:type="paragraph" w:customStyle="1" w:styleId="8">
    <w:name w:val="正文文本1"/>
    <w:basedOn w:val="1"/>
    <w:link w:val="10"/>
    <w:qFormat/>
    <w:uiPriority w:val="0"/>
    <w:pPr>
      <w:widowControl w:val="0"/>
      <w:shd w:val="clear" w:color="auto" w:fill="FFFFFF"/>
      <w:spacing w:before="360" w:line="590" w:lineRule="exact"/>
    </w:pPr>
    <w:rPr>
      <w:rFonts w:ascii="MingLiU" w:hAnsi="MingLiU" w:eastAsia="MingLiU" w:cs="MingLiU"/>
      <w:sz w:val="26"/>
      <w:szCs w:val="26"/>
      <w:u w:val="none"/>
    </w:rPr>
  </w:style>
  <w:style w:type="character" w:customStyle="1" w:styleId="9">
    <w:name w:val="正文文本 + Century Schoolbook2"/>
    <w:basedOn w:val="10"/>
    <w:qFormat/>
    <w:uiPriority w:val="0"/>
    <w:rPr>
      <w:rFonts w:ascii="Century Schoolbook" w:hAnsi="Century Schoolbook" w:eastAsia="Century Schoolbook" w:cs="Century Schoolbook"/>
      <w:b/>
      <w:bCs/>
      <w:color w:val="000000"/>
      <w:spacing w:val="0"/>
      <w:w w:val="75"/>
      <w:position w:val="0"/>
      <w:lang w:val="zh-CN" w:eastAsia="zh-CN" w:bidi="zh-CN"/>
    </w:rPr>
  </w:style>
  <w:style w:type="character" w:customStyle="1" w:styleId="10">
    <w:name w:val="正文文本_"/>
    <w:basedOn w:val="4"/>
    <w:link w:val="8"/>
    <w:qFormat/>
    <w:uiPriority w:val="0"/>
    <w:rPr>
      <w:rFonts w:ascii="MingLiU" w:hAnsi="MingLiU" w:eastAsia="MingLiU" w:cs="MingLiU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2021-10-14T07:36:00Z</dcterms:created>
  <dc:creator>gao</dc:creator>
  <cp:lastModifiedBy>Administrator</cp:lastModifiedBy>
  <dcterms:modified xsi:type="dcterms:W3CDTF">2021-10-15T06:54:19Z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