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曲靖市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沾益区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年一般公共预算和国有资本经营预算执行变动情况说明</w:t>
      </w:r>
    </w:p>
    <w:p w14:paraId="5CC56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</w:p>
    <w:p w14:paraId="0E335018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2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一、</w:t>
      </w:r>
      <w:r>
        <w:rPr>
          <w:rStyle w:val="6"/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</w:t>
      </w:r>
      <w:r>
        <w:rPr>
          <w:rStyle w:val="6"/>
          <w:rFonts w:hint="default" w:ascii="Times New Roman" w:hAnsi="Times New Roman" w:eastAsia="黑体" w:cs="Times New Roman"/>
          <w:b/>
          <w:bCs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020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沾益区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一般公共预算支出变动说明</w:t>
      </w:r>
    </w:p>
    <w:p w14:paraId="59BFA03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下降14.46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2019年拨付2018年上级专项补助资金。</w:t>
      </w:r>
    </w:p>
    <w:p w14:paraId="0927165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纪检监察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16.35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人员增加。</w:t>
      </w:r>
    </w:p>
    <w:p w14:paraId="2C8CF8FE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检察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下降100%，主要原因是：检察监督经费减少。</w:t>
      </w:r>
    </w:p>
    <w:p w14:paraId="65C56DC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商贸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款比2019年决算数减少8.72%，主要原因是：招商引资经费及商务经费减少。</w:t>
      </w:r>
    </w:p>
    <w:p w14:paraId="443B3ED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民族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下降53.98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上级补助民族专项经费和宗教经费减少。</w:t>
      </w:r>
    </w:p>
    <w:p w14:paraId="25F1901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档案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10.53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综合档案馆建设经费增加。</w:t>
      </w:r>
    </w:p>
    <w:p w14:paraId="678501E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统战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下降37.04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统战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专项补助减少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。</w:t>
      </w:r>
    </w:p>
    <w:p w14:paraId="4F44645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市场监督管理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下降23.32%，主要原因是：市场综合监管专项经费减少。</w:t>
      </w:r>
    </w:p>
    <w:p w14:paraId="4F9A9660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法院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下降100%，主要原因是：法院补助经费减少。</w:t>
      </w:r>
    </w:p>
    <w:p w14:paraId="5CF4720E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小学教育款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下降14.66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，主要原因是：部分专款科目从小学教育款调整至其他普通教育款中拨付；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2019年发放了1-3季度政府绩效考核奖，2020年只发放了2019年第4季度政府绩效考核奖。</w:t>
      </w:r>
    </w:p>
    <w:p w14:paraId="76C8369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197" w:leftChars="0" w:right="20" w:firstLine="6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高中教育款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下降10.22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2019年拨付了区一中改扩建专款，2020年中无安排；2019年发放了1-3季度政府绩效考核奖，2020年只发放了2019年第4季度政府绩效考核奖。</w:t>
      </w:r>
    </w:p>
    <w:p w14:paraId="1DE77A9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其他普通教育款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增加148.89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，主要原因是：部分专款科目调整至其他普通教育款中拨付。</w:t>
      </w:r>
    </w:p>
    <w:p w14:paraId="5076079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中等职业教育教育款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增加931.48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，主要原因是：科目调整，从职业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高中教育款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调整至中等职业教育款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。</w:t>
      </w:r>
    </w:p>
    <w:p w14:paraId="219495A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其他职业教育教育款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下降100.00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2019年上级专款在此科目中安排了免学费补助资金，2020年调整至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中等职业教育款中安排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。</w:t>
      </w:r>
    </w:p>
    <w:p w14:paraId="2128B37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特殊学校教育款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下降100.00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2020年在此科目中无上级专款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。</w:t>
      </w:r>
    </w:p>
    <w:p w14:paraId="5D5E898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其他教育费附加安排的支出款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增加83.73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，主要原因是：增加了教育债务还本付息支出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。</w:t>
      </w:r>
    </w:p>
    <w:p w14:paraId="7785DD2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其他教育款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en-US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增加90.86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，主要原因是：增加了薄弱学校改造资金。</w:t>
      </w:r>
    </w:p>
    <w:p w14:paraId="4B60DCD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科学技术管理事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下降16.43%，主要原因是：2019年发放了1-3季度政府绩效考核奖，2020年只发放了2019年第4季度政府绩效考核奖。</w:t>
      </w:r>
    </w:p>
    <w:p w14:paraId="2DBBF4D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技术研究与开发款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增长45.25%，主要原因是：上级安排技术研究与开发专款增加。</w:t>
      </w:r>
    </w:p>
    <w:p w14:paraId="105172A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科技条件与服务款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年决算数下降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100.00%，主要原因是：2020年在此科目中无上级专款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。</w:t>
      </w:r>
    </w:p>
    <w:p w14:paraId="1362C4D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科学技术普及款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增长65.35%，主要原因是：上级安排科学技术普及专款增加。</w:t>
      </w:r>
    </w:p>
    <w:p w14:paraId="0831950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科技交流与合作款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年决算数下降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100.00%，主要原因是：2020年在此科目中无上级专款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资金。</w:t>
      </w:r>
    </w:p>
    <w:p w14:paraId="104F119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其他科学技术支出款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增长322.22%，主要原因是：上级安排其他科学技术专款增加。</w:t>
      </w:r>
    </w:p>
    <w:p w14:paraId="4F385600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文化和旅游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下降21.73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2019年发放了1-3季度政府绩效考核奖，2020年只发放了2019年第4季度政府绩效考核奖。</w:t>
      </w:r>
    </w:p>
    <w:p w14:paraId="47CBE63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广播电视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增长100.00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，主要原因是：新增了区融媒体中心一家单位，经费增加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。</w:t>
      </w:r>
    </w:p>
    <w:p w14:paraId="027B03D0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其他文化旅游体育与传媒支出款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下降41.03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，主要原因是：上级安排其他文化旅游体育与传媒支出专款减少。</w:t>
      </w:r>
    </w:p>
    <w:p w14:paraId="63D9CA2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人力资源和社会保障管理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减少10.22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人社局医保中心因机构改革划入医保局，人员减少。</w:t>
      </w:r>
    </w:p>
    <w:p w14:paraId="49E5C4E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民政管理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下降17.16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因机构改革退役相关人员划入退役军人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局，人员减少。</w:t>
      </w:r>
    </w:p>
    <w:p w14:paraId="4D19B906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行政事业单位养老支出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增长27.07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养老保险缴费基数增加，财政负担金额增加。</w:t>
      </w:r>
    </w:p>
    <w:p w14:paraId="41CCFCF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就业补助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下降47.08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就业补助资金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减少。</w:t>
      </w:r>
    </w:p>
    <w:p w14:paraId="79763A1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抚恤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增长22.7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，主要原因是：提高“三属”定期抚恤补助经费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和临时价格补助经费等增加。</w:t>
      </w:r>
    </w:p>
    <w:p w14:paraId="6F4C3226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退役安置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增长32.34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退役安置士兵增加。</w:t>
      </w:r>
    </w:p>
    <w:p w14:paraId="26B82D5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社会福利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下降46.22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殡葬建设项目资金减少。</w:t>
      </w:r>
    </w:p>
    <w:p w14:paraId="4726DEF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最低生活保障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增长14.9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特困人员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基本生活保障补助资金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增加。</w:t>
      </w:r>
    </w:p>
    <w:p w14:paraId="28E6E98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临时救助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下降53.19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救助人员减少。</w:t>
      </w:r>
    </w:p>
    <w:p w14:paraId="08323DF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特困人员救助供养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增长20.9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困难人员基本生活保障生活补助资金增加。</w:t>
      </w:r>
    </w:p>
    <w:p w14:paraId="632F0A1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其他生活救助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下降62.11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救助人员减少。</w:t>
      </w:r>
    </w:p>
    <w:p w14:paraId="3A7E08E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财政对基本养老保险基金的补助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增长366.2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拨付2019年城乡居民基本养老保险金。</w:t>
      </w:r>
    </w:p>
    <w:p w14:paraId="6F1ACA6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退役军人管理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增长116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退役军人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部门从人社和民政调入人员，人员增加。</w:t>
      </w:r>
    </w:p>
    <w:p w14:paraId="458F2F2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其他社会保障和就业支出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增长850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上级专款增加。</w:t>
      </w:r>
    </w:p>
    <w:p w14:paraId="7294871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卫生健康管理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减少12.59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人员减少。</w:t>
      </w:r>
    </w:p>
    <w:p w14:paraId="584C175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公共卫生款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增长12.4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疫情防控资金增加。</w:t>
      </w:r>
    </w:p>
    <w:p w14:paraId="7027108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中医药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减少100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上级专款减少。</w:t>
      </w:r>
    </w:p>
    <w:p w14:paraId="104685B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计划生育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增长2656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拨付计生人员参保及项目经费。</w:t>
      </w:r>
    </w:p>
    <w:p w14:paraId="20B918A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医疗救助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增长104.22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2020年医疗救助补助资金增加。</w:t>
      </w:r>
    </w:p>
    <w:p w14:paraId="291AAC1E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优抚对象医疗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增长48.51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2020年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优抚对象医疗补助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资金增加。</w:t>
      </w:r>
    </w:p>
    <w:p w14:paraId="15929A5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医疗保障管理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增长71.38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医保局因机构改革人员增加。</w:t>
      </w:r>
    </w:p>
    <w:p w14:paraId="39EE214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老龄卫生健康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增加100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部分支出科目调整。</w:t>
      </w:r>
    </w:p>
    <w:p w14:paraId="51C5868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其他卫生健康支出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下降100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部分列支科目进行调整。</w:t>
      </w:r>
    </w:p>
    <w:p w14:paraId="6BFA46F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环境监测与监察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增长86.46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环境保护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经费增长。</w:t>
      </w:r>
    </w:p>
    <w:p w14:paraId="4E6B392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污染防治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增长184.12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，主要原因是：污染防治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专项经费增加。</w:t>
      </w:r>
    </w:p>
    <w:p w14:paraId="0B75C74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自然生态保护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年决算数减少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42.97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自然生态保护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经费减少。</w:t>
      </w:r>
    </w:p>
    <w:p w14:paraId="3D200A1E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天然林保护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增长223.72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天然林保护经费增加。</w:t>
      </w:r>
    </w:p>
    <w:p w14:paraId="113FC12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退耕还林还草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增长22.91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，主要原因是：缓拨上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级补助资金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。</w:t>
      </w:r>
    </w:p>
    <w:p w14:paraId="4D2BDABE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其他节能环保支出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年决算数减少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93.92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节能环保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 xml:space="preserve"> </w:t>
      </w:r>
    </w:p>
    <w:p w14:paraId="5BDDC9C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城乡社区环境卫生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下降22.5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提升城乡人居环境专项资金减少。</w:t>
      </w:r>
    </w:p>
    <w:p w14:paraId="52A1B77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其他城乡社区支出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增长83.8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，主要原因是：其他城乡社区支出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经费增加。</w:t>
      </w:r>
    </w:p>
    <w:p w14:paraId="4B8FCAC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bidi="zh-CN"/>
        </w:rPr>
        <w:t>年决算数下降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bidi="zh-CN"/>
        </w:rPr>
        <w:t>31.76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bidi="zh-CN"/>
        </w:rPr>
        <w:t>%，主要原因是：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病险水库除险加固及维修养护资金减少，农村安全饮水项目资金及抗旱工程建设补助较上年相应减少。</w:t>
      </w:r>
    </w:p>
    <w:p w14:paraId="19C2C69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扶贫款比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增长33.97%，主要原因是：为积极响应国家脱贫攻坚工作，中央、省、市、区各级财政用于财政专项扶贫资金增加，农村基础设施建设投入相应增加。</w:t>
      </w:r>
    </w:p>
    <w:p w14:paraId="25688079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农村综合改革款比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增加20.98%，主要原因是：对壮大村集体经济组织专项资金增加。</w:t>
      </w:r>
    </w:p>
    <w:p w14:paraId="2B62D22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普惠金融发展支出款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年决算数减少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2.08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2020年没有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涉农贷款增量奖励资金，农业保险保费补贴资金减少。</w:t>
      </w:r>
    </w:p>
    <w:p w14:paraId="4CA0594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其他农林水支出(项)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款比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增长1176.06%，主要原因是实现财政支农支出较上年增长，调整相应支出用于该科目支出。</w:t>
      </w:r>
      <w:bookmarkStart w:id="0" w:name="bookmark1"/>
    </w:p>
    <w:p w14:paraId="0A50E07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成品油价格改革对交通运输的补贴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下降62.4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道路运输管理系统下划经费基数减少。</w:t>
      </w:r>
    </w:p>
    <w:p w14:paraId="29A202D0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工业和信息产业监管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下降56.8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，主要原因是：中小企业投融资服务平台运营维护专项资金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和工业人才队伍建设培训专项资金减少。</w:t>
      </w:r>
    </w:p>
    <w:p w14:paraId="151FCA3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支持中小企业发展和管理支出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增长676.7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，主要原因是：改制国有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企业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先养后退人员养老金财政补助资金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增加。</w:t>
      </w:r>
    </w:p>
    <w:p w14:paraId="3736C95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涉外发展服务支出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款比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年决算数增加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85.19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，主要原因是：拨付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2019年度缓拨专款发展百强企业奖补资金100万。</w:t>
      </w:r>
    </w:p>
    <w:p w14:paraId="62B09DAC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自然资源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eastAsia="zh-CN"/>
        </w:rPr>
        <w:t>年决算数减少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15.75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eastAsia="zh-CN"/>
        </w:rPr>
        <w:t>%，主要原因是：自然资源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经费减少。</w:t>
      </w:r>
    </w:p>
    <w:p w14:paraId="558D20F0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保障性安居工程支出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下降66.9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，主要原因是：保障性安居工程专项资金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减少。</w:t>
      </w:r>
    </w:p>
    <w:p w14:paraId="0483602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粮油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增长38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，主要原因是：曲靖市市级储备粮补贴经费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和粮食风险基金专项资金等增加。</w:t>
      </w:r>
    </w:p>
    <w:p w14:paraId="4906E95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粮油储备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下降66.2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color w:val="auto"/>
          <w:sz w:val="32"/>
          <w:szCs w:val="32"/>
          <w:highlight w:val="none"/>
          <w:lang w:val="zh-CN" w:eastAsia="zh-CN" w:bidi="zh-CN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zh-CN" w:eastAsia="zh-CN" w:bidi="zh-CN"/>
        </w:rPr>
        <w:t>，主要原因是：曲靖市新建粮油储备建设项目经费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zh-CN"/>
        </w:rPr>
        <w:t>减少。</w:t>
      </w:r>
    </w:p>
    <w:p w14:paraId="72BFF14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200" w:leftChars="0" w:right="23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自然灾害救灾及恢复重建支出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eastAsia="zh-CN"/>
        </w:rPr>
        <w:t>年决算数减少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94.99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eastAsia="zh-CN"/>
        </w:rPr>
        <w:t>%，主要原因是：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自然灾害救灾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经费减少。</w:t>
      </w:r>
    </w:p>
    <w:bookmarkEnd w:id="0"/>
    <w:p w14:paraId="3ADCB9A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2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二、2020年沾益区政府性基金预算收入、支出变动说明</w:t>
      </w:r>
    </w:p>
    <w:p w14:paraId="764E31B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2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政府性基金预算收入2020年决算数同比增74.4%，主要原因是2019年土地出让价款收入中计提4769万元，2020年暂不计提。政府性基金2020年决算数同比增731.1%，主要原因是2020年新增抗疫特别国债资金16144万元、专项债券资金25000万元、征地和拆迁补偿新增5398万元等。</w:t>
      </w:r>
    </w:p>
    <w:p w14:paraId="0319FC2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2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zh-CN" w:eastAsia="zh-CN"/>
        </w:rPr>
        <w:t>2020年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沾益区</w:t>
      </w:r>
      <w:r>
        <w:rPr>
          <w:rFonts w:hint="default" w:ascii="Times New Roman" w:hAnsi="Times New Roman" w:eastAsia="黑体" w:cs="Times New Roman"/>
          <w:sz w:val="32"/>
          <w:szCs w:val="32"/>
          <w:lang w:val="zh-CN" w:eastAsia="zh-CN"/>
        </w:rPr>
        <w:t>国有资本经营预算收入、支出变动说明</w:t>
      </w:r>
    </w:p>
    <w:p w14:paraId="7CD68BC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2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国有资本经营预算支出2020年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eastAsia="zh-CN"/>
        </w:rPr>
        <w:t>决算数同比增长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2617万元，增长330.43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 w:eastAsia="zh-CN"/>
        </w:rPr>
        <w:t>%，主要原因是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2020年云维集团“三供一业”项目清算结束，拨付了工程尾款3360万元。</w:t>
      </w:r>
    </w:p>
    <w:p w14:paraId="0A96E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E02DE"/>
    <w:multiLevelType w:val="multilevel"/>
    <w:tmpl w:val="5F4E02DE"/>
    <w:lvl w:ilvl="0" w:tentative="0">
      <w:start w:val="1"/>
      <w:numFmt w:val="decimal"/>
      <w:lvlText w:val="%1."/>
      <w:lvlJc w:val="left"/>
      <w:pPr>
        <w:ind w:left="177"/>
      </w:pPr>
      <w:rPr>
        <w:rFonts w:ascii="Century Schoolbook" w:hAnsi="Century Schoolbook" w:eastAsia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26"/>
        <w:szCs w:val="26"/>
        <w:u w:val="no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6531F"/>
    <w:rsid w:val="01CD0ADB"/>
    <w:rsid w:val="08F312FF"/>
    <w:rsid w:val="12815BBA"/>
    <w:rsid w:val="2B5B159D"/>
    <w:rsid w:val="48580801"/>
    <w:rsid w:val="49D773C0"/>
    <w:rsid w:val="4CCC0F5C"/>
    <w:rsid w:val="647B4557"/>
    <w:rsid w:val="65C6531F"/>
    <w:rsid w:val="78104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文本 (2)"/>
    <w:basedOn w:val="1"/>
    <w:link w:val="7"/>
    <w:qFormat/>
    <w:uiPriority w:val="0"/>
    <w:pPr>
      <w:widowControl w:val="0"/>
      <w:shd w:val="clear" w:color="auto" w:fill="FFFFFF"/>
      <w:spacing w:before="540" w:after="360" w:line="0" w:lineRule="exact"/>
      <w:ind w:firstLine="620"/>
    </w:pPr>
    <w:rPr>
      <w:rFonts w:ascii="MingLiU" w:hAnsi="MingLiU" w:eastAsia="MingLiU" w:cs="MingLiU"/>
      <w:sz w:val="28"/>
      <w:szCs w:val="28"/>
      <w:u w:val="none"/>
    </w:rPr>
  </w:style>
  <w:style w:type="character" w:customStyle="1" w:styleId="6">
    <w:name w:val="正文文本 (2) + CordiaUPC"/>
    <w:basedOn w:val="7"/>
    <w:qFormat/>
    <w:uiPriority w:val="0"/>
    <w:rPr>
      <w:rFonts w:ascii="CordiaUPC" w:hAnsi="CordiaUPC" w:eastAsia="CordiaUPC" w:cs="CordiaUPC"/>
      <w:b/>
      <w:bCs/>
      <w:color w:val="000000"/>
      <w:spacing w:val="0"/>
      <w:w w:val="100"/>
      <w:position w:val="0"/>
      <w:sz w:val="40"/>
      <w:szCs w:val="40"/>
      <w:lang w:val="zh-CN" w:eastAsia="zh-CN" w:bidi="zh-CN"/>
    </w:rPr>
  </w:style>
  <w:style w:type="character" w:customStyle="1" w:styleId="7">
    <w:name w:val="正文文本 (2)_"/>
    <w:basedOn w:val="4"/>
    <w:link w:val="5"/>
    <w:qFormat/>
    <w:uiPriority w:val="0"/>
    <w:rPr>
      <w:rFonts w:ascii="MingLiU" w:hAnsi="MingLiU" w:eastAsia="MingLiU" w:cs="MingLiU"/>
      <w:sz w:val="28"/>
      <w:szCs w:val="28"/>
      <w:u w:val="none"/>
    </w:rPr>
  </w:style>
  <w:style w:type="paragraph" w:customStyle="1" w:styleId="8">
    <w:name w:val="正文文本1"/>
    <w:basedOn w:val="1"/>
    <w:link w:val="10"/>
    <w:qFormat/>
    <w:uiPriority w:val="0"/>
    <w:pPr>
      <w:widowControl w:val="0"/>
      <w:shd w:val="clear" w:color="auto" w:fill="FFFFFF"/>
      <w:spacing w:before="360" w:line="590" w:lineRule="exact"/>
    </w:pPr>
    <w:rPr>
      <w:rFonts w:ascii="MingLiU" w:hAnsi="MingLiU" w:eastAsia="MingLiU" w:cs="MingLiU"/>
      <w:sz w:val="26"/>
      <w:szCs w:val="26"/>
      <w:u w:val="none"/>
    </w:rPr>
  </w:style>
  <w:style w:type="character" w:customStyle="1" w:styleId="9">
    <w:name w:val="正文文本 + Century Schoolbook2"/>
    <w:basedOn w:val="10"/>
    <w:qFormat/>
    <w:uiPriority w:val="0"/>
    <w:rPr>
      <w:rFonts w:ascii="Century Schoolbook" w:hAnsi="Century Schoolbook" w:eastAsia="Century Schoolbook" w:cs="Century Schoolbook"/>
      <w:b/>
      <w:bCs/>
      <w:color w:val="000000"/>
      <w:spacing w:val="0"/>
      <w:w w:val="75"/>
      <w:position w:val="0"/>
      <w:lang w:val="zh-CN" w:eastAsia="zh-CN" w:bidi="zh-CN"/>
    </w:rPr>
  </w:style>
  <w:style w:type="character" w:customStyle="1" w:styleId="10">
    <w:name w:val="正文文本_"/>
    <w:basedOn w:val="4"/>
    <w:link w:val="8"/>
    <w:qFormat/>
    <w:uiPriority w:val="0"/>
    <w:rPr>
      <w:rFonts w:ascii="MingLiU" w:hAnsi="MingLiU" w:eastAsia="MingLiU" w:cs="MingLiU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8</Pages>
  <Words>3239</Words>
  <Characters>3946</Characters>
  <Lines>0</Lines>
  <Paragraphs>0</Paragraphs>
  <TotalTime>1</TotalTime>
  <ScaleCrop>false</ScaleCrop>
  <LinksUpToDate>false</LinksUpToDate>
  <CharactersWithSpaces>3947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2021-10-14T07:36:00Z</dcterms:created>
  <dc:creator>gao</dc:creator>
  <cp:lastModifiedBy>张文能</cp:lastModifiedBy>
  <dcterms:modified xsi:type="dcterms:W3CDTF">2025-03-31T01:30:22Z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E2F9B87E606C48BDB640F960CC15720F_12</vt:lpwstr>
  </property>
</Properties>
</file>