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/>
        <w:rPr>
          <w:rFonts w:eastAsia="方正黑体_GBK"/>
          <w:color w:val="auto"/>
          <w:sz w:val="30"/>
          <w:szCs w:val="30"/>
        </w:rPr>
      </w:pPr>
      <w:r>
        <w:rPr>
          <w:rFonts w:eastAsia="方正黑体_GBK"/>
          <w:color w:val="auto"/>
          <w:sz w:val="30"/>
          <w:szCs w:val="30"/>
        </w:rPr>
        <w:t>附件3</w:t>
      </w:r>
      <w:bookmarkStart w:id="0" w:name="_GoBack"/>
      <w:bookmarkEnd w:id="0"/>
    </w:p>
    <w:p>
      <w:pPr>
        <w:spacing w:line="600" w:lineRule="exact"/>
        <w:ind w:firstLine="0"/>
        <w:jc w:val="center"/>
        <w:rPr>
          <w:rFonts w:hint="eastAsia" w:ascii="方正小标宋_GBK" w:eastAsia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eastAsia="方正小标宋_GBK"/>
          <w:color w:val="auto"/>
          <w:sz w:val="44"/>
          <w:szCs w:val="44"/>
        </w:rPr>
        <w:t>曲靖市沾益区人民政府办公室公开</w:t>
      </w:r>
      <w:r>
        <w:rPr>
          <w:rFonts w:hint="eastAsia" w:ascii="方正小标宋_GBK" w:eastAsia="方正小标宋_GBK"/>
          <w:color w:val="auto"/>
          <w:sz w:val="44"/>
          <w:szCs w:val="44"/>
          <w:lang w:eastAsia="zh-CN"/>
        </w:rPr>
        <w:t>选调</w:t>
      </w:r>
    </w:p>
    <w:p>
      <w:pPr>
        <w:spacing w:line="600" w:lineRule="exact"/>
        <w:ind w:firstLine="0"/>
        <w:jc w:val="center"/>
        <w:rPr>
          <w:rFonts w:hint="eastAsia" w:ascii="方正小标宋_GBK" w:eastAsia="方正小标宋_GBK"/>
          <w:color w:val="auto"/>
          <w:sz w:val="44"/>
          <w:szCs w:val="44"/>
        </w:rPr>
      </w:pPr>
      <w:r>
        <w:rPr>
          <w:rFonts w:hint="eastAsia" w:ascii="方正小标宋_GBK" w:eastAsia="方正小标宋_GBK"/>
          <w:color w:val="auto"/>
          <w:sz w:val="44"/>
          <w:szCs w:val="44"/>
        </w:rPr>
        <w:t>公务员经历业绩评价表</w:t>
      </w:r>
    </w:p>
    <w:tbl>
      <w:tblPr>
        <w:tblStyle w:val="4"/>
        <w:tblW w:w="10141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219"/>
        <w:gridCol w:w="583"/>
        <w:gridCol w:w="2139"/>
        <w:gridCol w:w="2699"/>
        <w:gridCol w:w="740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2753" w:type="dxa"/>
            <w:gridSpan w:val="3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32"/>
                <w:szCs w:val="32"/>
              </w:rPr>
            </w:pPr>
            <w:r>
              <w:rPr>
                <w:rFonts w:eastAsia="方正仿宋_GBK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2139" w:type="dxa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32"/>
                <w:szCs w:val="32"/>
              </w:rPr>
            </w:pPr>
          </w:p>
        </w:tc>
        <w:tc>
          <w:tcPr>
            <w:tcW w:w="2699" w:type="dxa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32"/>
                <w:szCs w:val="32"/>
              </w:rPr>
            </w:pPr>
            <w:r>
              <w:rPr>
                <w:rFonts w:eastAsia="方正仿宋_GBK"/>
                <w:color w:val="auto"/>
                <w:sz w:val="32"/>
                <w:szCs w:val="32"/>
              </w:rPr>
              <w:t>性别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753" w:type="dxa"/>
            <w:gridSpan w:val="3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32"/>
                <w:szCs w:val="32"/>
              </w:rPr>
            </w:pPr>
            <w:r>
              <w:rPr>
                <w:rFonts w:eastAsia="方正仿宋_GBK"/>
                <w:color w:val="auto"/>
                <w:sz w:val="32"/>
                <w:szCs w:val="32"/>
              </w:rPr>
              <w:t>单位</w:t>
            </w:r>
          </w:p>
        </w:tc>
        <w:tc>
          <w:tcPr>
            <w:tcW w:w="2139" w:type="dxa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32"/>
                <w:szCs w:val="32"/>
              </w:rPr>
            </w:pPr>
          </w:p>
        </w:tc>
        <w:tc>
          <w:tcPr>
            <w:tcW w:w="2699" w:type="dxa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32"/>
                <w:szCs w:val="32"/>
              </w:rPr>
            </w:pPr>
            <w:r>
              <w:rPr>
                <w:rFonts w:eastAsia="方正仿宋_GBK"/>
                <w:color w:val="auto"/>
                <w:sz w:val="32"/>
                <w:szCs w:val="32"/>
              </w:rPr>
              <w:t>职务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591" w:type="dxa"/>
            <w:gridSpan w:val="5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color w:val="auto"/>
                <w:sz w:val="28"/>
                <w:szCs w:val="28"/>
              </w:rPr>
              <w:t>评价内容与分值</w:t>
            </w:r>
          </w:p>
        </w:tc>
        <w:tc>
          <w:tcPr>
            <w:tcW w:w="740" w:type="dxa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color w:val="auto"/>
                <w:sz w:val="28"/>
                <w:szCs w:val="28"/>
              </w:rPr>
              <w:t>得分</w:t>
            </w:r>
          </w:p>
        </w:tc>
        <w:tc>
          <w:tcPr>
            <w:tcW w:w="1810" w:type="dxa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2170" w:type="dxa"/>
            <w:gridSpan w:val="2"/>
            <w:vMerge w:val="restart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color w:val="auto"/>
                <w:sz w:val="28"/>
                <w:szCs w:val="28"/>
              </w:rPr>
              <w:t>学历</w:t>
            </w:r>
          </w:p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color w:val="auto"/>
                <w:sz w:val="28"/>
                <w:szCs w:val="28"/>
              </w:rPr>
              <w:t>因素</w:t>
            </w:r>
          </w:p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color w:val="auto"/>
                <w:szCs w:val="21"/>
              </w:rPr>
              <w:t>（1</w:t>
            </w:r>
            <w:r>
              <w:rPr>
                <w:rFonts w:hint="eastAsia" w:eastAsia="方正仿宋_GBK"/>
                <w:b/>
                <w:color w:val="auto"/>
                <w:szCs w:val="21"/>
                <w:lang w:val="en-US" w:eastAsia="zh-CN"/>
              </w:rPr>
              <w:t>2</w:t>
            </w:r>
            <w:r>
              <w:rPr>
                <w:rFonts w:eastAsia="方正仿宋_GBK"/>
                <w:b/>
                <w:color w:val="auto"/>
                <w:szCs w:val="21"/>
              </w:rPr>
              <w:t>分）</w:t>
            </w:r>
          </w:p>
        </w:tc>
        <w:tc>
          <w:tcPr>
            <w:tcW w:w="5421" w:type="dxa"/>
            <w:gridSpan w:val="3"/>
            <w:vAlign w:val="center"/>
          </w:tcPr>
          <w:p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sz w:val="24"/>
              </w:rPr>
              <w:t>具备</w:t>
            </w:r>
            <w:r>
              <w:rPr>
                <w:rFonts w:eastAsia="方正仿宋_GBK"/>
                <w:color w:val="auto"/>
                <w:sz w:val="24"/>
              </w:rPr>
              <w:t>国民教育研究生及以上学历（1</w:t>
            </w:r>
            <w:r>
              <w:rPr>
                <w:rFonts w:hint="eastAsia" w:eastAsia="方正仿宋_GBK"/>
                <w:color w:val="auto"/>
                <w:sz w:val="24"/>
                <w:lang w:val="en-US" w:eastAsia="zh-CN"/>
              </w:rPr>
              <w:t>2</w:t>
            </w:r>
            <w:r>
              <w:rPr>
                <w:rFonts w:eastAsia="方正仿宋_GBK"/>
                <w:color w:val="auto"/>
                <w:sz w:val="24"/>
              </w:rPr>
              <w:t>分）</w:t>
            </w:r>
          </w:p>
        </w:tc>
        <w:tc>
          <w:tcPr>
            <w:tcW w:w="740" w:type="dxa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10" w:type="dxa"/>
            <w:vMerge w:val="restart"/>
            <w:vAlign w:val="center"/>
          </w:tcPr>
          <w:p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以分项中最高得分计算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170" w:type="dxa"/>
            <w:gridSpan w:val="2"/>
            <w:vMerge w:val="continue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</w:p>
        </w:tc>
        <w:tc>
          <w:tcPr>
            <w:tcW w:w="5421" w:type="dxa"/>
            <w:gridSpan w:val="3"/>
            <w:vAlign w:val="center"/>
          </w:tcPr>
          <w:p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获得双学</w:t>
            </w:r>
            <w:r>
              <w:rPr>
                <w:rFonts w:hint="eastAsia" w:eastAsia="方正仿宋_GBK"/>
                <w:color w:val="auto"/>
                <w:sz w:val="24"/>
              </w:rPr>
              <w:t>士学</w:t>
            </w:r>
            <w:r>
              <w:rPr>
                <w:rFonts w:eastAsia="方正仿宋_GBK"/>
                <w:color w:val="auto"/>
                <w:sz w:val="24"/>
              </w:rPr>
              <w:t>位（1</w:t>
            </w:r>
            <w:r>
              <w:rPr>
                <w:rFonts w:hint="eastAsia" w:eastAsia="方正仿宋_GBK"/>
                <w:color w:val="auto"/>
                <w:sz w:val="24"/>
                <w:lang w:val="en-US" w:eastAsia="zh-CN"/>
              </w:rPr>
              <w:t>0</w:t>
            </w:r>
            <w:r>
              <w:rPr>
                <w:rFonts w:eastAsia="方正仿宋_GBK"/>
                <w:color w:val="auto"/>
                <w:sz w:val="24"/>
              </w:rPr>
              <w:t>分）</w:t>
            </w:r>
          </w:p>
        </w:tc>
        <w:tc>
          <w:tcPr>
            <w:tcW w:w="740" w:type="dxa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70" w:type="dxa"/>
            <w:gridSpan w:val="2"/>
            <w:vMerge w:val="continue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</w:p>
        </w:tc>
        <w:tc>
          <w:tcPr>
            <w:tcW w:w="5421" w:type="dxa"/>
            <w:gridSpan w:val="3"/>
            <w:vAlign w:val="center"/>
          </w:tcPr>
          <w:p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sz w:val="24"/>
              </w:rPr>
              <w:t>获得单一学士学位（</w:t>
            </w:r>
            <w:r>
              <w:rPr>
                <w:rFonts w:hint="eastAsia" w:eastAsia="方正仿宋_GBK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eastAsia" w:eastAsia="方正仿宋_GBK"/>
                <w:color w:val="auto"/>
                <w:sz w:val="24"/>
              </w:rPr>
              <w:t>分）</w:t>
            </w:r>
          </w:p>
        </w:tc>
        <w:tc>
          <w:tcPr>
            <w:tcW w:w="740" w:type="dxa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951" w:type="dxa"/>
            <w:vMerge w:val="restart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hint="eastAsia" w:eastAsia="方正仿宋_GBK"/>
                <w:b/>
                <w:color w:val="auto"/>
                <w:szCs w:val="21"/>
              </w:rPr>
            </w:pPr>
            <w:r>
              <w:rPr>
                <w:rFonts w:hint="eastAsia" w:eastAsia="方正仿宋_GBK"/>
                <w:b/>
                <w:color w:val="auto"/>
                <w:szCs w:val="21"/>
              </w:rPr>
              <w:t>工作</w:t>
            </w:r>
          </w:p>
          <w:p>
            <w:pPr>
              <w:spacing w:line="440" w:lineRule="exact"/>
              <w:ind w:firstLine="0"/>
              <w:jc w:val="center"/>
              <w:rPr>
                <w:rFonts w:hint="eastAsia" w:eastAsia="方正仿宋_GBK"/>
                <w:b/>
                <w:color w:val="auto"/>
                <w:szCs w:val="21"/>
              </w:rPr>
            </w:pPr>
            <w:r>
              <w:rPr>
                <w:rFonts w:hint="eastAsia" w:eastAsia="方正仿宋_GBK"/>
                <w:b/>
                <w:color w:val="auto"/>
                <w:szCs w:val="21"/>
              </w:rPr>
              <w:t>经历</w:t>
            </w:r>
          </w:p>
          <w:p>
            <w:pPr>
              <w:spacing w:line="440" w:lineRule="exact"/>
              <w:ind w:firstLine="0"/>
              <w:jc w:val="center"/>
              <w:rPr>
                <w:rFonts w:hint="eastAsia" w:eastAsia="方正仿宋_GBK"/>
                <w:b/>
                <w:color w:val="auto"/>
                <w:szCs w:val="21"/>
              </w:rPr>
            </w:pPr>
            <w:r>
              <w:rPr>
                <w:rFonts w:hint="eastAsia" w:eastAsia="方正仿宋_GBK"/>
                <w:b/>
                <w:color w:val="auto"/>
                <w:szCs w:val="21"/>
              </w:rPr>
              <w:t>因素</w:t>
            </w:r>
          </w:p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  <w:r>
              <w:rPr>
                <w:rFonts w:hint="eastAsia" w:eastAsia="方正仿宋_GBK"/>
                <w:b/>
                <w:color w:val="auto"/>
                <w:szCs w:val="21"/>
              </w:rPr>
              <w:t>（2</w:t>
            </w:r>
            <w:r>
              <w:rPr>
                <w:rFonts w:hint="eastAsia" w:eastAsia="方正仿宋_GBK"/>
                <w:b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eastAsia="方正仿宋_GBK"/>
                <w:b/>
                <w:color w:val="auto"/>
                <w:szCs w:val="21"/>
              </w:rPr>
              <w:t>分）</w:t>
            </w:r>
          </w:p>
        </w:tc>
        <w:tc>
          <w:tcPr>
            <w:tcW w:w="1219" w:type="dxa"/>
            <w:vMerge w:val="restart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r>
              <w:rPr>
                <w:rFonts w:eastAsia="方正仿宋_GBK"/>
                <w:color w:val="auto"/>
                <w:sz w:val="28"/>
                <w:szCs w:val="28"/>
              </w:rPr>
              <w:t>参加工作情况</w:t>
            </w:r>
            <w:r>
              <w:rPr>
                <w:rFonts w:eastAsia="方正仿宋_GBK"/>
                <w:color w:val="auto"/>
                <w:szCs w:val="21"/>
              </w:rPr>
              <w:t>（</w:t>
            </w:r>
            <w:r>
              <w:rPr>
                <w:rFonts w:hint="eastAsia" w:eastAsia="方正仿宋_GBK"/>
                <w:color w:val="auto"/>
                <w:szCs w:val="21"/>
                <w:lang w:val="en-US" w:eastAsia="zh-CN"/>
              </w:rPr>
              <w:t>6</w:t>
            </w:r>
            <w:r>
              <w:rPr>
                <w:rFonts w:eastAsia="方正仿宋_GBK"/>
                <w:color w:val="auto"/>
                <w:szCs w:val="21"/>
              </w:rPr>
              <w:t>分）</w:t>
            </w:r>
          </w:p>
        </w:tc>
        <w:tc>
          <w:tcPr>
            <w:tcW w:w="5421" w:type="dxa"/>
            <w:gridSpan w:val="3"/>
            <w:vAlign w:val="center"/>
          </w:tcPr>
          <w:p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参加工作时间满4年及以上（</w:t>
            </w:r>
            <w:r>
              <w:rPr>
                <w:rFonts w:hint="eastAsia" w:eastAsia="方正仿宋_GBK"/>
                <w:color w:val="auto"/>
                <w:sz w:val="24"/>
                <w:lang w:val="en-US" w:eastAsia="zh-CN"/>
              </w:rPr>
              <w:t>6</w:t>
            </w:r>
            <w:r>
              <w:rPr>
                <w:rFonts w:eastAsia="方正仿宋_GBK"/>
                <w:color w:val="auto"/>
                <w:sz w:val="24"/>
              </w:rPr>
              <w:t>分）</w:t>
            </w:r>
          </w:p>
        </w:tc>
        <w:tc>
          <w:tcPr>
            <w:tcW w:w="740" w:type="dxa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10" w:type="dxa"/>
            <w:vMerge w:val="restart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  <w:r>
              <w:rPr>
                <w:rFonts w:eastAsia="方正仿宋_GBK"/>
                <w:color w:val="auto"/>
                <w:sz w:val="24"/>
              </w:rPr>
              <w:t>以分项中最高得分计算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</w:p>
        </w:tc>
        <w:tc>
          <w:tcPr>
            <w:tcW w:w="1219" w:type="dxa"/>
            <w:vMerge w:val="continue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</w:p>
        </w:tc>
        <w:tc>
          <w:tcPr>
            <w:tcW w:w="5421" w:type="dxa"/>
            <w:gridSpan w:val="3"/>
            <w:vAlign w:val="center"/>
          </w:tcPr>
          <w:p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参加工作时间满3年，但不满4年（</w:t>
            </w:r>
            <w:r>
              <w:rPr>
                <w:rFonts w:hint="eastAsia" w:eastAsia="方正仿宋_GBK"/>
                <w:color w:val="auto"/>
                <w:sz w:val="24"/>
                <w:lang w:val="en-US" w:eastAsia="zh-CN"/>
              </w:rPr>
              <w:t>4</w:t>
            </w:r>
            <w:r>
              <w:rPr>
                <w:rFonts w:eastAsia="方正仿宋_GBK"/>
                <w:color w:val="auto"/>
                <w:sz w:val="24"/>
              </w:rPr>
              <w:t>分）</w:t>
            </w:r>
          </w:p>
        </w:tc>
        <w:tc>
          <w:tcPr>
            <w:tcW w:w="740" w:type="dxa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</w:p>
        </w:tc>
        <w:tc>
          <w:tcPr>
            <w:tcW w:w="12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</w:p>
        </w:tc>
        <w:tc>
          <w:tcPr>
            <w:tcW w:w="5421" w:type="dxa"/>
            <w:gridSpan w:val="3"/>
            <w:vAlign w:val="center"/>
          </w:tcPr>
          <w:p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参加工作时间满2年，但不满3年（</w:t>
            </w:r>
            <w:r>
              <w:rPr>
                <w:rFonts w:hint="eastAsia" w:eastAsia="方正仿宋_GBK"/>
                <w:color w:val="auto"/>
                <w:sz w:val="24"/>
                <w:lang w:val="en-US" w:eastAsia="zh-CN"/>
              </w:rPr>
              <w:t>3</w:t>
            </w:r>
            <w:r>
              <w:rPr>
                <w:rFonts w:eastAsia="方正仿宋_GBK"/>
                <w:color w:val="auto"/>
                <w:sz w:val="24"/>
              </w:rPr>
              <w:t>分）</w:t>
            </w:r>
          </w:p>
        </w:tc>
        <w:tc>
          <w:tcPr>
            <w:tcW w:w="740" w:type="dxa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9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</w:p>
        </w:tc>
        <w:tc>
          <w:tcPr>
            <w:tcW w:w="542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ind w:firstLine="0"/>
              <w:rPr>
                <w:rFonts w:hint="default" w:eastAsia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仿宋_GBK"/>
                <w:color w:val="auto"/>
                <w:sz w:val="24"/>
                <w:lang w:eastAsia="zh-CN"/>
              </w:rPr>
              <w:t>任办公室主任</w:t>
            </w:r>
            <w:r>
              <w:rPr>
                <w:rFonts w:hint="eastAsia" w:eastAsia="方正仿宋_GBK"/>
                <w:color w:val="auto"/>
                <w:sz w:val="24"/>
                <w:lang w:val="en-US" w:eastAsia="zh-CN"/>
              </w:rPr>
              <w:t>1年及以上</w:t>
            </w:r>
            <w:r>
              <w:rPr>
                <w:rFonts w:eastAsia="方正仿宋_GBK"/>
                <w:color w:val="auto"/>
                <w:sz w:val="24"/>
              </w:rPr>
              <w:t>（</w:t>
            </w:r>
            <w:r>
              <w:rPr>
                <w:rFonts w:hint="eastAsia" w:eastAsia="方正仿宋_GBK"/>
                <w:color w:val="auto"/>
                <w:sz w:val="24"/>
              </w:rPr>
              <w:t>1</w:t>
            </w:r>
            <w:r>
              <w:rPr>
                <w:rFonts w:hint="eastAsia" w:eastAsia="方正仿宋_GBK"/>
                <w:color w:val="auto"/>
                <w:sz w:val="24"/>
                <w:lang w:val="en-US" w:eastAsia="zh-CN"/>
              </w:rPr>
              <w:t>6</w:t>
            </w:r>
            <w:r>
              <w:rPr>
                <w:rFonts w:eastAsia="方正仿宋_GBK"/>
                <w:color w:val="auto"/>
                <w:sz w:val="24"/>
              </w:rPr>
              <w:t>分）</w:t>
            </w:r>
          </w:p>
        </w:tc>
        <w:tc>
          <w:tcPr>
            <w:tcW w:w="740" w:type="dxa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9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r>
              <w:rPr>
                <w:rFonts w:eastAsia="方正仿宋_GBK"/>
                <w:color w:val="auto"/>
                <w:sz w:val="28"/>
                <w:szCs w:val="28"/>
              </w:rPr>
              <w:t>从事办公室工作情况</w:t>
            </w:r>
            <w:r>
              <w:rPr>
                <w:rFonts w:eastAsia="方正仿宋_GBK"/>
                <w:color w:val="auto"/>
                <w:szCs w:val="21"/>
              </w:rPr>
              <w:t>（</w:t>
            </w:r>
            <w:r>
              <w:rPr>
                <w:rFonts w:hint="eastAsia" w:eastAsia="方正仿宋_GBK"/>
                <w:color w:val="auto"/>
                <w:szCs w:val="21"/>
              </w:rPr>
              <w:t>1</w:t>
            </w:r>
            <w:r>
              <w:rPr>
                <w:rFonts w:hint="eastAsia" w:eastAsia="方正仿宋_GBK"/>
                <w:color w:val="auto"/>
                <w:szCs w:val="21"/>
                <w:lang w:val="en-US" w:eastAsia="zh-CN"/>
              </w:rPr>
              <w:t>6</w:t>
            </w:r>
            <w:r>
              <w:rPr>
                <w:rFonts w:eastAsia="方正仿宋_GBK"/>
                <w:color w:val="auto"/>
                <w:szCs w:val="21"/>
              </w:rPr>
              <w:t>分）</w:t>
            </w:r>
          </w:p>
        </w:tc>
        <w:tc>
          <w:tcPr>
            <w:tcW w:w="542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从事办公室工作2年及以上（</w:t>
            </w:r>
            <w:r>
              <w:rPr>
                <w:rFonts w:hint="eastAsia" w:eastAsia="方正仿宋_GBK"/>
                <w:color w:val="auto"/>
                <w:sz w:val="24"/>
              </w:rPr>
              <w:t>12</w:t>
            </w:r>
            <w:r>
              <w:rPr>
                <w:rFonts w:eastAsia="方正仿宋_GBK"/>
                <w:color w:val="auto"/>
                <w:sz w:val="24"/>
              </w:rPr>
              <w:t>分）</w:t>
            </w:r>
          </w:p>
        </w:tc>
        <w:tc>
          <w:tcPr>
            <w:tcW w:w="740" w:type="dxa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10" w:type="dxa"/>
            <w:vMerge w:val="restart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  <w:r>
              <w:rPr>
                <w:rFonts w:eastAsia="方正仿宋_GBK"/>
                <w:color w:val="auto"/>
                <w:sz w:val="24"/>
              </w:rPr>
              <w:t>以分项中最高得分计算；以上经历以任职文件为依据，如无任职文件，以单位证明为准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9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</w:p>
        </w:tc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</w:p>
        </w:tc>
        <w:tc>
          <w:tcPr>
            <w:tcW w:w="542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从事办公室工作1年及以上，不满2年的（</w:t>
            </w:r>
            <w:r>
              <w:rPr>
                <w:rFonts w:hint="eastAsia" w:eastAsia="方正仿宋_GBK"/>
                <w:color w:val="auto"/>
                <w:sz w:val="24"/>
              </w:rPr>
              <w:t>10</w:t>
            </w:r>
            <w:r>
              <w:rPr>
                <w:rFonts w:eastAsia="方正仿宋_GBK"/>
                <w:color w:val="auto"/>
                <w:sz w:val="24"/>
              </w:rPr>
              <w:t>分）</w:t>
            </w:r>
          </w:p>
        </w:tc>
        <w:tc>
          <w:tcPr>
            <w:tcW w:w="740" w:type="dxa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</w:p>
        </w:tc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</w:p>
        </w:tc>
        <w:tc>
          <w:tcPr>
            <w:tcW w:w="542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在县级以上人民政府办公室跟班学习半年及以上（</w:t>
            </w:r>
            <w:r>
              <w:rPr>
                <w:rFonts w:hint="eastAsia" w:eastAsia="方正仿宋_GBK"/>
                <w:color w:val="auto"/>
                <w:sz w:val="24"/>
                <w:lang w:val="en-US" w:eastAsia="zh-CN"/>
              </w:rPr>
              <w:t>8</w:t>
            </w:r>
            <w:r>
              <w:rPr>
                <w:rFonts w:eastAsia="方正仿宋_GBK"/>
                <w:color w:val="auto"/>
                <w:sz w:val="24"/>
              </w:rPr>
              <w:t>分）</w:t>
            </w:r>
          </w:p>
        </w:tc>
        <w:tc>
          <w:tcPr>
            <w:tcW w:w="740" w:type="dxa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</w:p>
        </w:tc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</w:p>
        </w:tc>
        <w:tc>
          <w:tcPr>
            <w:tcW w:w="542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从事办公室工作1年及以下（</w:t>
            </w:r>
            <w:r>
              <w:rPr>
                <w:rFonts w:hint="eastAsia" w:eastAsia="方正仿宋_GBK"/>
                <w:color w:val="auto"/>
                <w:sz w:val="24"/>
                <w:lang w:val="en-US" w:eastAsia="zh-CN"/>
              </w:rPr>
              <w:t>5</w:t>
            </w:r>
            <w:r>
              <w:rPr>
                <w:rFonts w:eastAsia="方正仿宋_GBK"/>
                <w:color w:val="auto"/>
                <w:sz w:val="24"/>
              </w:rPr>
              <w:t>分）</w:t>
            </w:r>
          </w:p>
        </w:tc>
        <w:tc>
          <w:tcPr>
            <w:tcW w:w="740" w:type="dxa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951" w:type="dxa"/>
            <w:vMerge w:val="restart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  <w:r>
              <w:rPr>
                <w:rFonts w:eastAsia="方正仿宋_GBK"/>
                <w:b/>
                <w:color w:val="auto"/>
                <w:szCs w:val="21"/>
              </w:rPr>
              <w:t>工作</w:t>
            </w:r>
          </w:p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  <w:r>
              <w:rPr>
                <w:rFonts w:eastAsia="方正仿宋_GBK"/>
                <w:b/>
                <w:color w:val="auto"/>
                <w:szCs w:val="21"/>
              </w:rPr>
              <w:t>业绩</w:t>
            </w:r>
          </w:p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  <w:r>
              <w:rPr>
                <w:rFonts w:eastAsia="方正仿宋_GBK"/>
                <w:b/>
                <w:color w:val="auto"/>
                <w:szCs w:val="21"/>
              </w:rPr>
              <w:t>因素</w:t>
            </w:r>
          </w:p>
          <w:p>
            <w:pPr>
              <w:spacing w:line="440" w:lineRule="exact"/>
              <w:ind w:firstLine="0"/>
              <w:jc w:val="center"/>
              <w:rPr>
                <w:rFonts w:hint="eastAsia" w:eastAsia="方正仿宋_GBK"/>
                <w:b/>
                <w:color w:val="auto"/>
                <w:szCs w:val="21"/>
              </w:rPr>
            </w:pPr>
            <w:r>
              <w:rPr>
                <w:rFonts w:eastAsia="方正仿宋_GBK"/>
                <w:b/>
                <w:color w:val="auto"/>
                <w:szCs w:val="21"/>
              </w:rPr>
              <w:t>（</w:t>
            </w:r>
            <w:r>
              <w:rPr>
                <w:rFonts w:hint="eastAsia" w:eastAsia="方正仿宋_GBK"/>
                <w:b/>
                <w:color w:val="auto"/>
                <w:szCs w:val="21"/>
              </w:rPr>
              <w:t>4</w:t>
            </w:r>
            <w:r>
              <w:rPr>
                <w:rFonts w:hint="eastAsia" w:eastAsia="方正仿宋_GBK"/>
                <w:b/>
                <w:color w:val="auto"/>
                <w:szCs w:val="21"/>
                <w:lang w:val="en-US" w:eastAsia="zh-CN"/>
              </w:rPr>
              <w:t>6</w:t>
            </w:r>
            <w:r>
              <w:rPr>
                <w:rFonts w:eastAsia="方正仿宋_GBK"/>
                <w:b/>
                <w:color w:val="auto"/>
                <w:szCs w:val="21"/>
              </w:rPr>
              <w:t>分）</w:t>
            </w:r>
          </w:p>
          <w:p>
            <w:pPr>
              <w:spacing w:line="440" w:lineRule="exact"/>
              <w:ind w:firstLine="0"/>
              <w:jc w:val="center"/>
              <w:rPr>
                <w:rFonts w:hint="eastAsia" w:eastAsia="方正仿宋_GBK"/>
                <w:b/>
                <w:color w:val="auto"/>
                <w:szCs w:val="21"/>
              </w:rPr>
            </w:pPr>
          </w:p>
          <w:p>
            <w:pPr>
              <w:spacing w:line="440" w:lineRule="exact"/>
              <w:ind w:firstLine="0"/>
              <w:jc w:val="center"/>
              <w:rPr>
                <w:rFonts w:hint="eastAsia" w:eastAsia="方正仿宋_GBK"/>
                <w:b/>
                <w:color w:val="auto"/>
                <w:szCs w:val="21"/>
              </w:rPr>
            </w:pPr>
          </w:p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  <w:r>
              <w:rPr>
                <w:rFonts w:eastAsia="方正仿宋_GBK"/>
                <w:b/>
                <w:color w:val="auto"/>
                <w:szCs w:val="21"/>
              </w:rPr>
              <w:t>工作</w:t>
            </w:r>
          </w:p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  <w:r>
              <w:rPr>
                <w:rFonts w:eastAsia="方正仿宋_GBK"/>
                <w:b/>
                <w:color w:val="auto"/>
                <w:szCs w:val="21"/>
              </w:rPr>
              <w:t>业绩</w:t>
            </w:r>
          </w:p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  <w:r>
              <w:rPr>
                <w:rFonts w:eastAsia="方正仿宋_GBK"/>
                <w:b/>
                <w:color w:val="auto"/>
                <w:szCs w:val="21"/>
              </w:rPr>
              <w:t>因素</w:t>
            </w:r>
          </w:p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  <w:r>
              <w:rPr>
                <w:rFonts w:eastAsia="方正仿宋_GBK"/>
                <w:b/>
                <w:color w:val="auto"/>
                <w:szCs w:val="21"/>
              </w:rPr>
              <w:t>（</w:t>
            </w:r>
            <w:r>
              <w:rPr>
                <w:rFonts w:hint="eastAsia" w:eastAsia="方正仿宋_GBK"/>
                <w:b/>
                <w:color w:val="auto"/>
                <w:szCs w:val="21"/>
              </w:rPr>
              <w:t>4</w:t>
            </w:r>
            <w:r>
              <w:rPr>
                <w:rFonts w:hint="eastAsia" w:eastAsia="方正仿宋_GBK"/>
                <w:b/>
                <w:color w:val="auto"/>
                <w:szCs w:val="21"/>
                <w:lang w:val="en-US" w:eastAsia="zh-CN"/>
              </w:rPr>
              <w:t>6</w:t>
            </w:r>
            <w:r>
              <w:rPr>
                <w:rFonts w:eastAsia="方正仿宋_GBK"/>
                <w:b/>
                <w:color w:val="auto"/>
                <w:szCs w:val="21"/>
              </w:rPr>
              <w:t>分）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r>
              <w:rPr>
                <w:rFonts w:eastAsia="方正仿宋_GBK"/>
                <w:color w:val="auto"/>
                <w:sz w:val="28"/>
                <w:szCs w:val="28"/>
              </w:rPr>
              <w:t>公务员年度</w:t>
            </w:r>
          </w:p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r>
              <w:rPr>
                <w:rFonts w:eastAsia="方正仿宋_GBK"/>
                <w:color w:val="auto"/>
                <w:sz w:val="28"/>
                <w:szCs w:val="28"/>
              </w:rPr>
              <w:t>考核</w:t>
            </w:r>
          </w:p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r>
              <w:rPr>
                <w:rFonts w:eastAsia="方正仿宋_GBK"/>
                <w:color w:val="auto"/>
                <w:szCs w:val="21"/>
              </w:rPr>
              <w:t>（1</w:t>
            </w:r>
            <w:r>
              <w:rPr>
                <w:rFonts w:hint="eastAsia" w:eastAsia="方正仿宋_GBK"/>
                <w:color w:val="auto"/>
                <w:szCs w:val="21"/>
              </w:rPr>
              <w:t>2</w:t>
            </w:r>
            <w:r>
              <w:rPr>
                <w:rFonts w:eastAsia="方正仿宋_GBK"/>
                <w:color w:val="auto"/>
                <w:szCs w:val="21"/>
              </w:rPr>
              <w:t>分）</w:t>
            </w:r>
          </w:p>
        </w:tc>
        <w:tc>
          <w:tcPr>
            <w:tcW w:w="5421" w:type="dxa"/>
            <w:gridSpan w:val="3"/>
            <w:vAlign w:val="center"/>
          </w:tcPr>
          <w:p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sz w:val="24"/>
                <w:lang w:eastAsia="zh-CN"/>
              </w:rPr>
              <w:t>近五年</w:t>
            </w:r>
            <w:r>
              <w:rPr>
                <w:rFonts w:eastAsia="方正仿宋_GBK"/>
                <w:color w:val="auto"/>
                <w:sz w:val="24"/>
              </w:rPr>
              <w:t>考核被评为三次</w:t>
            </w:r>
            <w:r>
              <w:rPr>
                <w:rFonts w:hint="eastAsia" w:eastAsia="方正仿宋_GBK"/>
                <w:color w:val="auto"/>
                <w:sz w:val="24"/>
                <w:lang w:eastAsia="zh-CN"/>
              </w:rPr>
              <w:t>及</w:t>
            </w:r>
            <w:r>
              <w:rPr>
                <w:rFonts w:eastAsia="方正仿宋_GBK"/>
                <w:color w:val="auto"/>
                <w:sz w:val="24"/>
              </w:rPr>
              <w:t>以上优秀等次（1</w:t>
            </w:r>
            <w:r>
              <w:rPr>
                <w:rFonts w:hint="eastAsia" w:eastAsia="方正仿宋_GBK"/>
                <w:color w:val="auto"/>
                <w:sz w:val="24"/>
              </w:rPr>
              <w:t>2</w:t>
            </w:r>
            <w:r>
              <w:rPr>
                <w:rFonts w:eastAsia="方正仿宋_GBK"/>
                <w:color w:val="auto"/>
                <w:sz w:val="24"/>
              </w:rPr>
              <w:t>分）</w:t>
            </w:r>
          </w:p>
        </w:tc>
        <w:tc>
          <w:tcPr>
            <w:tcW w:w="740" w:type="dxa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10" w:type="dxa"/>
            <w:vMerge w:val="restart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  <w:r>
              <w:rPr>
                <w:rFonts w:eastAsia="方正仿宋_GBK"/>
                <w:color w:val="auto"/>
                <w:sz w:val="24"/>
              </w:rPr>
              <w:t>以分项中最高得分计算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</w:p>
        </w:tc>
        <w:tc>
          <w:tcPr>
            <w:tcW w:w="5421" w:type="dxa"/>
            <w:gridSpan w:val="3"/>
            <w:vAlign w:val="center"/>
          </w:tcPr>
          <w:p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sz w:val="24"/>
                <w:lang w:eastAsia="zh-CN"/>
              </w:rPr>
              <w:t>近五年</w:t>
            </w:r>
            <w:r>
              <w:rPr>
                <w:rFonts w:eastAsia="方正仿宋_GBK"/>
                <w:color w:val="auto"/>
                <w:sz w:val="24"/>
              </w:rPr>
              <w:t>考核被评为二次以上优秀等次（</w:t>
            </w:r>
            <w:r>
              <w:rPr>
                <w:rFonts w:hint="eastAsia" w:eastAsia="方正仿宋_GBK"/>
                <w:color w:val="auto"/>
                <w:sz w:val="24"/>
              </w:rPr>
              <w:t>10</w:t>
            </w:r>
            <w:r>
              <w:rPr>
                <w:rFonts w:eastAsia="方正仿宋_GBK"/>
                <w:color w:val="auto"/>
                <w:sz w:val="24"/>
              </w:rPr>
              <w:t>分）</w:t>
            </w:r>
          </w:p>
        </w:tc>
        <w:tc>
          <w:tcPr>
            <w:tcW w:w="740" w:type="dxa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</w:p>
        </w:tc>
        <w:tc>
          <w:tcPr>
            <w:tcW w:w="5421" w:type="dxa"/>
            <w:gridSpan w:val="3"/>
            <w:vAlign w:val="center"/>
          </w:tcPr>
          <w:p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sz w:val="24"/>
                <w:lang w:eastAsia="zh-CN"/>
              </w:rPr>
              <w:t>近五年</w:t>
            </w:r>
            <w:r>
              <w:rPr>
                <w:rFonts w:eastAsia="方正仿宋_GBK"/>
                <w:color w:val="auto"/>
                <w:sz w:val="24"/>
              </w:rPr>
              <w:t>考核被评为一次以上优秀等次（</w:t>
            </w:r>
            <w:r>
              <w:rPr>
                <w:rFonts w:hint="eastAsia" w:eastAsia="方正仿宋_GBK"/>
                <w:color w:val="auto"/>
                <w:sz w:val="24"/>
              </w:rPr>
              <w:t>8</w:t>
            </w:r>
            <w:r>
              <w:rPr>
                <w:rFonts w:eastAsia="方正仿宋_GBK"/>
                <w:color w:val="auto"/>
                <w:sz w:val="24"/>
              </w:rPr>
              <w:t>分）</w:t>
            </w:r>
          </w:p>
        </w:tc>
        <w:tc>
          <w:tcPr>
            <w:tcW w:w="740" w:type="dxa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 w:val="28"/>
                <w:szCs w:val="28"/>
              </w:rPr>
            </w:pPr>
          </w:p>
        </w:tc>
        <w:tc>
          <w:tcPr>
            <w:tcW w:w="121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r>
              <w:rPr>
                <w:rFonts w:eastAsia="方正仿宋_GBK"/>
                <w:color w:val="auto"/>
                <w:sz w:val="28"/>
                <w:szCs w:val="28"/>
              </w:rPr>
              <w:t>受表彰情况</w:t>
            </w:r>
          </w:p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r>
              <w:rPr>
                <w:rFonts w:eastAsia="方正仿宋_GBK"/>
                <w:color w:val="auto"/>
                <w:szCs w:val="21"/>
              </w:rPr>
              <w:t>（1</w:t>
            </w:r>
            <w:r>
              <w:rPr>
                <w:rFonts w:hint="eastAsia" w:eastAsia="方正仿宋_GBK"/>
                <w:color w:val="auto"/>
                <w:szCs w:val="21"/>
                <w:lang w:val="en-US" w:eastAsia="zh-CN"/>
              </w:rPr>
              <w:t>4</w:t>
            </w:r>
            <w:r>
              <w:rPr>
                <w:rFonts w:eastAsia="方正仿宋_GBK"/>
                <w:color w:val="auto"/>
                <w:szCs w:val="21"/>
              </w:rPr>
              <w:t>分）</w:t>
            </w:r>
          </w:p>
        </w:tc>
        <w:tc>
          <w:tcPr>
            <w:tcW w:w="5421" w:type="dxa"/>
            <w:gridSpan w:val="3"/>
            <w:vAlign w:val="center"/>
          </w:tcPr>
          <w:p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获省部级及以上表彰（1</w:t>
            </w:r>
            <w:r>
              <w:rPr>
                <w:rFonts w:hint="eastAsia" w:eastAsia="方正仿宋_GBK"/>
                <w:color w:val="auto"/>
                <w:sz w:val="24"/>
                <w:lang w:val="en-US" w:eastAsia="zh-CN"/>
              </w:rPr>
              <w:t>4</w:t>
            </w:r>
            <w:r>
              <w:rPr>
                <w:rFonts w:eastAsia="方正仿宋_GBK"/>
                <w:color w:val="auto"/>
                <w:sz w:val="24"/>
              </w:rPr>
              <w:t>分）</w:t>
            </w:r>
          </w:p>
        </w:tc>
        <w:tc>
          <w:tcPr>
            <w:tcW w:w="740" w:type="dxa"/>
            <w:vAlign w:val="top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10" w:type="dxa"/>
            <w:vMerge w:val="restart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  <w:r>
              <w:rPr>
                <w:rFonts w:eastAsia="方正仿宋_GBK"/>
                <w:color w:val="auto"/>
                <w:sz w:val="24"/>
              </w:rPr>
              <w:t>以分项中最高得分计算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</w:p>
        </w:tc>
        <w:tc>
          <w:tcPr>
            <w:tcW w:w="5421" w:type="dxa"/>
            <w:gridSpan w:val="3"/>
            <w:vAlign w:val="center"/>
          </w:tcPr>
          <w:p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获市级及以上表彰（</w:t>
            </w:r>
            <w:r>
              <w:rPr>
                <w:rFonts w:hint="eastAsia" w:eastAsia="方正仿宋_GBK"/>
                <w:color w:val="auto"/>
                <w:sz w:val="24"/>
                <w:lang w:val="en-US" w:eastAsia="zh-CN"/>
              </w:rPr>
              <w:t>12</w:t>
            </w:r>
            <w:r>
              <w:rPr>
                <w:rFonts w:eastAsia="方正仿宋_GBK"/>
                <w:color w:val="auto"/>
                <w:sz w:val="24"/>
              </w:rPr>
              <w:t>分）</w:t>
            </w:r>
          </w:p>
        </w:tc>
        <w:tc>
          <w:tcPr>
            <w:tcW w:w="740" w:type="dxa"/>
            <w:vAlign w:val="top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10" w:type="dxa"/>
            <w:vMerge w:val="continue"/>
            <w:vAlign w:val="top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</w:p>
        </w:tc>
        <w:tc>
          <w:tcPr>
            <w:tcW w:w="5421" w:type="dxa"/>
            <w:gridSpan w:val="3"/>
            <w:vAlign w:val="center"/>
          </w:tcPr>
          <w:p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获县（市、区）级及以上表彰（</w:t>
            </w:r>
            <w:r>
              <w:rPr>
                <w:rFonts w:hint="eastAsia" w:eastAsia="方正仿宋_GBK"/>
                <w:color w:val="auto"/>
                <w:sz w:val="24"/>
                <w:lang w:val="en-US" w:eastAsia="zh-CN"/>
              </w:rPr>
              <w:t>8</w:t>
            </w:r>
            <w:r>
              <w:rPr>
                <w:rFonts w:eastAsia="方正仿宋_GBK"/>
                <w:color w:val="auto"/>
                <w:sz w:val="24"/>
              </w:rPr>
              <w:t>分）</w:t>
            </w:r>
          </w:p>
        </w:tc>
        <w:tc>
          <w:tcPr>
            <w:tcW w:w="740" w:type="dxa"/>
            <w:vAlign w:val="top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10" w:type="dxa"/>
            <w:vMerge w:val="continue"/>
            <w:vAlign w:val="top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 w:val="28"/>
                <w:szCs w:val="28"/>
              </w:rPr>
            </w:pPr>
          </w:p>
        </w:tc>
        <w:tc>
          <w:tcPr>
            <w:tcW w:w="121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r>
              <w:rPr>
                <w:rFonts w:eastAsia="方正仿宋_GBK"/>
                <w:color w:val="auto"/>
                <w:sz w:val="28"/>
                <w:szCs w:val="28"/>
              </w:rPr>
              <w:t>文字</w:t>
            </w:r>
          </w:p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r>
              <w:rPr>
                <w:rFonts w:eastAsia="方正仿宋_GBK"/>
                <w:color w:val="auto"/>
                <w:sz w:val="28"/>
                <w:szCs w:val="28"/>
              </w:rPr>
              <w:t>写作</w:t>
            </w:r>
          </w:p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r>
              <w:rPr>
                <w:rFonts w:eastAsia="方正仿宋_GBK"/>
                <w:color w:val="auto"/>
                <w:sz w:val="28"/>
                <w:szCs w:val="28"/>
              </w:rPr>
              <w:t>因素</w:t>
            </w:r>
          </w:p>
          <w:p>
            <w:pPr>
              <w:spacing w:line="440" w:lineRule="exact"/>
              <w:ind w:firstLine="0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r>
              <w:rPr>
                <w:rFonts w:eastAsia="方正仿宋_GBK"/>
                <w:color w:val="auto"/>
                <w:szCs w:val="21"/>
              </w:rPr>
              <w:t>（</w:t>
            </w:r>
            <w:r>
              <w:rPr>
                <w:rFonts w:hint="eastAsia" w:eastAsia="方正仿宋_GBK"/>
                <w:color w:val="auto"/>
                <w:szCs w:val="21"/>
              </w:rPr>
              <w:t>20</w:t>
            </w:r>
            <w:r>
              <w:rPr>
                <w:rFonts w:eastAsia="方正仿宋_GBK"/>
                <w:color w:val="auto"/>
                <w:szCs w:val="21"/>
              </w:rPr>
              <w:t>分）</w:t>
            </w:r>
          </w:p>
        </w:tc>
        <w:tc>
          <w:tcPr>
            <w:tcW w:w="5421" w:type="dxa"/>
            <w:gridSpan w:val="3"/>
            <w:vAlign w:val="center"/>
          </w:tcPr>
          <w:p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在国家级</w:t>
            </w:r>
            <w:r>
              <w:rPr>
                <w:rFonts w:hint="eastAsia" w:eastAsia="方正仿宋_GBK"/>
                <w:color w:val="auto"/>
                <w:sz w:val="24"/>
                <w:lang w:eastAsia="zh-CN"/>
              </w:rPr>
              <w:t>主流</w:t>
            </w:r>
            <w:r>
              <w:rPr>
                <w:rFonts w:eastAsia="方正仿宋_GBK"/>
                <w:color w:val="auto"/>
                <w:sz w:val="24"/>
              </w:rPr>
              <w:t>媒体上发表署名文章、论文（</w:t>
            </w:r>
            <w:r>
              <w:rPr>
                <w:rFonts w:hint="eastAsia" w:eastAsia="方正仿宋_GBK"/>
                <w:color w:val="auto"/>
                <w:sz w:val="24"/>
              </w:rPr>
              <w:t>20</w:t>
            </w:r>
            <w:r>
              <w:rPr>
                <w:rFonts w:eastAsia="方正仿宋_GBK"/>
                <w:color w:val="auto"/>
                <w:sz w:val="24"/>
              </w:rPr>
              <w:t>分）</w:t>
            </w:r>
          </w:p>
        </w:tc>
        <w:tc>
          <w:tcPr>
            <w:tcW w:w="740" w:type="dxa"/>
            <w:vAlign w:val="top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10" w:type="dxa"/>
            <w:vMerge w:val="restart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  <w:r>
              <w:rPr>
                <w:rFonts w:eastAsia="方正仿宋_GBK"/>
                <w:color w:val="auto"/>
                <w:sz w:val="24"/>
              </w:rPr>
              <w:t>以分项中最高得分计算（同一篇文章、论文按最高级别计分）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951" w:type="dxa"/>
            <w:vMerge w:val="continue"/>
            <w:vAlign w:val="top"/>
          </w:tcPr>
          <w:p>
            <w:pPr>
              <w:spacing w:line="440" w:lineRule="exact"/>
              <w:ind w:firstLine="0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21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5421" w:type="dxa"/>
            <w:gridSpan w:val="3"/>
            <w:vAlign w:val="center"/>
          </w:tcPr>
          <w:p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在省级</w:t>
            </w:r>
            <w:r>
              <w:rPr>
                <w:rFonts w:hint="eastAsia" w:eastAsia="方正仿宋_GBK"/>
                <w:color w:val="auto"/>
                <w:sz w:val="24"/>
                <w:lang w:eastAsia="zh-CN"/>
              </w:rPr>
              <w:t>主流</w:t>
            </w:r>
            <w:r>
              <w:rPr>
                <w:rFonts w:eastAsia="方正仿宋_GBK"/>
                <w:color w:val="auto"/>
                <w:sz w:val="24"/>
              </w:rPr>
              <w:t>媒体上发表署名文章、论文（10分），2篇及以上（15分）</w:t>
            </w:r>
          </w:p>
        </w:tc>
        <w:tc>
          <w:tcPr>
            <w:tcW w:w="740" w:type="dxa"/>
            <w:vAlign w:val="top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10" w:type="dxa"/>
            <w:vMerge w:val="continue"/>
            <w:vAlign w:val="top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51" w:type="dxa"/>
            <w:vMerge w:val="continue"/>
            <w:vAlign w:val="top"/>
          </w:tcPr>
          <w:p>
            <w:pPr>
              <w:spacing w:line="440" w:lineRule="exact"/>
              <w:ind w:firstLine="0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21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5421" w:type="dxa"/>
            <w:gridSpan w:val="3"/>
            <w:vAlign w:val="center"/>
          </w:tcPr>
          <w:p>
            <w:pPr>
              <w:spacing w:line="440" w:lineRule="exact"/>
              <w:ind w:firstLine="0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在市级</w:t>
            </w:r>
            <w:r>
              <w:rPr>
                <w:rFonts w:hint="eastAsia" w:eastAsia="方正仿宋_GBK"/>
                <w:color w:val="auto"/>
                <w:sz w:val="24"/>
                <w:lang w:eastAsia="zh-CN"/>
              </w:rPr>
              <w:t>主流</w:t>
            </w:r>
            <w:r>
              <w:rPr>
                <w:rFonts w:eastAsia="方正仿宋_GBK"/>
                <w:color w:val="auto"/>
                <w:sz w:val="24"/>
              </w:rPr>
              <w:t>媒体上发表署名文章、论文（7分），5篇及以上（12分）</w:t>
            </w:r>
          </w:p>
        </w:tc>
        <w:tc>
          <w:tcPr>
            <w:tcW w:w="740" w:type="dxa"/>
            <w:vAlign w:val="top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10" w:type="dxa"/>
            <w:vMerge w:val="continue"/>
            <w:vAlign w:val="top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</w:trPr>
        <w:tc>
          <w:tcPr>
            <w:tcW w:w="951" w:type="dxa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hint="eastAsia" w:eastAsia="方正仿宋_GBK"/>
                <w:b/>
                <w:color w:val="auto"/>
                <w:szCs w:val="21"/>
              </w:rPr>
            </w:pPr>
            <w:r>
              <w:rPr>
                <w:rFonts w:eastAsia="方正仿宋_GBK"/>
                <w:b/>
                <w:color w:val="auto"/>
                <w:szCs w:val="21"/>
              </w:rPr>
              <w:t>专家组</w:t>
            </w:r>
          </w:p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  <w:r>
              <w:rPr>
                <w:rFonts w:eastAsia="方正仿宋_GBK"/>
                <w:b/>
                <w:color w:val="auto"/>
                <w:szCs w:val="21"/>
              </w:rPr>
              <w:t>综合</w:t>
            </w:r>
          </w:p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  <w:r>
              <w:rPr>
                <w:rFonts w:eastAsia="方正仿宋_GBK"/>
                <w:b/>
                <w:color w:val="auto"/>
                <w:szCs w:val="21"/>
              </w:rPr>
              <w:t>评价</w:t>
            </w:r>
          </w:p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  <w:r>
              <w:rPr>
                <w:rFonts w:eastAsia="方正仿宋_GBK"/>
                <w:b/>
                <w:color w:val="auto"/>
                <w:szCs w:val="21"/>
              </w:rPr>
              <w:t>（20分）</w:t>
            </w:r>
          </w:p>
        </w:tc>
        <w:tc>
          <w:tcPr>
            <w:tcW w:w="6640" w:type="dxa"/>
            <w:gridSpan w:val="4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 xml:space="preserve">   参考经历业绩报告，从参与者工作业绩轨迹，与办公室工作关联度越高得分越高，且相似工作业绩中工作量越大、难度越高、成绩越突出、本人发挥作用越大的得分越高。</w:t>
            </w:r>
          </w:p>
        </w:tc>
        <w:tc>
          <w:tcPr>
            <w:tcW w:w="740" w:type="dxa"/>
            <w:vAlign w:val="top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  <w:tc>
          <w:tcPr>
            <w:tcW w:w="1810" w:type="dxa"/>
            <w:vAlign w:val="top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951" w:type="dxa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  <w:r>
              <w:rPr>
                <w:rFonts w:eastAsia="方正仿宋_GBK"/>
                <w:b/>
                <w:color w:val="auto"/>
                <w:szCs w:val="21"/>
              </w:rPr>
              <w:t>总分</w:t>
            </w:r>
          </w:p>
        </w:tc>
        <w:tc>
          <w:tcPr>
            <w:tcW w:w="9190" w:type="dxa"/>
            <w:gridSpan w:val="6"/>
            <w:vAlign w:val="center"/>
          </w:tcPr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8" w:hRule="atLeast"/>
        </w:trPr>
        <w:tc>
          <w:tcPr>
            <w:tcW w:w="951" w:type="dxa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  <w:r>
              <w:rPr>
                <w:rFonts w:eastAsia="方正仿宋_GBK"/>
                <w:b/>
                <w:color w:val="auto"/>
                <w:szCs w:val="21"/>
              </w:rPr>
              <w:t>评委</w:t>
            </w:r>
          </w:p>
          <w:p>
            <w:pPr>
              <w:spacing w:line="440" w:lineRule="exact"/>
              <w:ind w:firstLine="0"/>
              <w:jc w:val="center"/>
              <w:rPr>
                <w:rFonts w:eastAsia="方正仿宋_GBK"/>
                <w:b/>
                <w:color w:val="auto"/>
                <w:szCs w:val="21"/>
              </w:rPr>
            </w:pPr>
            <w:r>
              <w:rPr>
                <w:rFonts w:eastAsia="方正仿宋_GBK"/>
                <w:b/>
                <w:color w:val="auto"/>
                <w:szCs w:val="21"/>
              </w:rPr>
              <w:t>签字</w:t>
            </w:r>
          </w:p>
        </w:tc>
        <w:tc>
          <w:tcPr>
            <w:tcW w:w="9190" w:type="dxa"/>
            <w:gridSpan w:val="6"/>
            <w:vAlign w:val="center"/>
          </w:tcPr>
          <w:p>
            <w:pPr>
              <w:spacing w:line="440" w:lineRule="exact"/>
              <w:ind w:firstLine="0"/>
              <w:rPr>
                <w:rFonts w:hint="eastAsia"/>
                <w:color w:val="auto"/>
                <w:sz w:val="32"/>
                <w:szCs w:val="32"/>
              </w:rPr>
            </w:pPr>
          </w:p>
          <w:p>
            <w:pPr>
              <w:spacing w:line="440" w:lineRule="exact"/>
              <w:ind w:firstLine="0"/>
              <w:rPr>
                <w:rFonts w:hint="eastAsia"/>
                <w:color w:val="auto"/>
                <w:sz w:val="32"/>
                <w:szCs w:val="32"/>
              </w:rPr>
            </w:pPr>
          </w:p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  <w:p>
            <w:pPr>
              <w:spacing w:line="440" w:lineRule="exact"/>
              <w:ind w:firstLine="0"/>
              <w:rPr>
                <w:color w:val="auto"/>
                <w:sz w:val="32"/>
                <w:szCs w:val="32"/>
              </w:rPr>
            </w:pPr>
          </w:p>
          <w:p>
            <w:pPr>
              <w:spacing w:line="440" w:lineRule="exact"/>
              <w:ind w:firstLine="0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eastAsia="方正仿宋_GBK"/>
                <w:color w:val="auto"/>
                <w:sz w:val="28"/>
                <w:szCs w:val="28"/>
              </w:rPr>
              <w:t xml:space="preserve">                             年   月   日</w:t>
            </w:r>
          </w:p>
        </w:tc>
      </w:tr>
    </w:tbl>
    <w:p>
      <w:pPr>
        <w:ind w:left="0" w:leftChars="0" w:firstLine="0" w:firstLineChars="0"/>
      </w:pPr>
    </w:p>
    <w:sectPr>
      <w:headerReference r:id="rId3" w:type="default"/>
      <w:footerReference r:id="rId4" w:type="default"/>
      <w:pgSz w:w="11905" w:h="16837"/>
      <w:pgMar w:top="2097" w:right="1474" w:bottom="1984" w:left="1587" w:header="566" w:footer="1474" w:gutter="0"/>
      <w:cols w:space="720" w:num="1"/>
      <w:docGrid w:linePitch="4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wordWrap w:val="0"/>
      <w:snapToGrid w:val="0"/>
      <w:spacing w:line="240" w:lineRule="auto"/>
      <w:ind w:firstLine="280" w:firstLineChars="100"/>
      <w:jc w:val="right"/>
    </w:pPr>
    <w:r>
      <w:rPr>
        <w:sz w:val="28"/>
      </w:rPr>
      <w:t xml:space="preserve">— </w:t>
    </w:r>
    <w:r>
      <w:fldChar w:fldCharType="begin"/>
    </w:r>
    <w:r>
      <w:rPr>
        <w:sz w:val="28"/>
      </w:rPr>
      <w:instrText xml:space="preserve"> PAGE </w:instrText>
    </w:r>
    <w:r>
      <w:fldChar w:fldCharType="separate"/>
    </w:r>
    <w:r>
      <w:rPr>
        <w:sz w:val="28"/>
      </w:rPr>
      <w:t>3</w:t>
    </w:r>
    <w:r>
      <w:fldChar w:fldCharType="end"/>
    </w:r>
    <w:r>
      <w:rPr>
        <w:sz w:val="28"/>
      </w:rPr>
      <w:t xml:space="preserve"> —</w:t>
    </w:r>
    <w: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1007745</wp:posOffset>
              </wp:positionH>
              <wp:positionV relativeFrom="page">
                <wp:posOffset>9575800</wp:posOffset>
              </wp:positionV>
              <wp:extent cx="5615940" cy="179705"/>
              <wp:effectExtent l="0" t="0" r="0" b="0"/>
              <wp:wrapNone/>
              <wp:docPr id="4100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59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文本框 8" o:spid="_x0000_s1026" o:spt="1" style="position:absolute;left:0pt;margin-left:79.35pt;margin-top:754pt;height:14.15pt;width:442.2pt;mso-position-horizontal-relative:page;mso-position-vertical-relative:page;z-index:-251655168;mso-width-relative:page;mso-height-relative:page;" filled="f" stroked="f" coordsize="21600,21600" o:allowincell="f" o:gfxdata="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dVHoLtcAAAAOAQAADwAAAAAAAAABACAAAAAiAAAAZHJzL2Rvd25yZXYueG1sUEsBAhQAFAAA&#10;AAgAh07iQI9ohlK3AQAATQMAAA4AAAAAAAAAAQAgAAAAJgEAAGRycy9lMm9Eb2MueG1sUEsFBgAA&#10;AAAGAAYAWQEAAE8FAAAAAA==&#10;">
              <v:fill on="f" focussize="0,0"/>
              <v:stroke on="f"/>
              <v:imagedata o:title=""/>
              <o:lock v:ext="edit" aspectratio="f"/>
              <v:shadow on="t" obscured="0" color="#A0A0A4" opacity="65536f" offset="0pt,0pt" offset2="0pt,0pt" origin="0f,0f" matrix="65536f,0f,0f,65536f,0,0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240" w:lineRule="auto"/>
      <w:ind w:firstLine="419"/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1007745</wp:posOffset>
              </wp:positionH>
              <wp:positionV relativeFrom="page">
                <wp:posOffset>359410</wp:posOffset>
              </wp:positionV>
              <wp:extent cx="5615940" cy="179705"/>
              <wp:effectExtent l="0" t="0" r="0" b="0"/>
              <wp:wrapNone/>
              <wp:docPr id="4098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5940" cy="1797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文本框 7" o:spid="_x0000_s1026" o:spt="1" style="position:absolute;left:0pt;margin-left:79.35pt;margin-top:28.3pt;height:14.15pt;width:442.2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TnY/OdcAAAAKAQAADwAAAAAAAAABACAAAAAiAAAAZHJzL2Rvd25yZXYueG1sUEsBAhQAFAAA&#10;AAgAh07iQGrOsce3AQAATQMAAA4AAAAAAAAAAQAgAAAAJgEAAGRycy9lMm9Eb2MueG1sUEsFBgAA&#10;AAAGAAYAWQEAAE8FAAAAAA==&#10;">
              <v:fill on="f" focussize="0,0"/>
              <v:stroke on="f"/>
              <v:imagedata o:title=""/>
              <o:lock v:ext="edit" aspectratio="f"/>
              <v:shadow on="t" obscured="0" color="#A0A0A4" opacity="65536f" offset="0pt,0pt" offset2="0pt,0pt" origin="0f,0f" matrix="65536f,0f,0f,65536f,0,0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342B3"/>
    <w:rsid w:val="112342B3"/>
    <w:rsid w:val="61841D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38" w:lineRule="atLeast"/>
      <w:ind w:firstLine="623"/>
      <w:jc w:val="both"/>
      <w:textAlignment w:val="baseline"/>
    </w:pPr>
    <w:rPr>
      <w:rFonts w:ascii="Times New Roman" w:hAnsi="Times New Roman" w:eastAsia="仿宋_GB2312" w:cs="Times New Roman"/>
      <w:color w:val="000000"/>
      <w:sz w:val="31"/>
      <w:szCs w:val="22"/>
      <w:u w:val="none"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 w:line="240" w:lineRule="auto"/>
      <w:ind w:firstLine="0"/>
      <w:jc w:val="left"/>
      <w:textAlignment w:val="auto"/>
    </w:pPr>
    <w:rPr>
      <w:rFonts w:ascii="宋体" w:hAnsi="宋体" w:eastAsia="宋体" w:cs="宋体"/>
      <w:color w:val="auto"/>
      <w:sz w:val="24"/>
      <w:szCs w:val="24"/>
      <w:u w:val="none" w:color="auto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曲靖市沾益县党政机关单位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2020-09-30T08:34:00Z</dcterms:created>
  <dc:creator>未定义</dc:creator>
  <cp:lastModifiedBy>未定义</cp:lastModifiedBy>
  <dcterms:modified xsi:type="dcterms:W3CDTF">2020-09-30T08:36:38Z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